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329A" w:rsidRPr="00E11192" w:rsidRDefault="00C4329A" w:rsidP="00E11192">
      <w:r w:rsidRPr="00E11192">
        <w:t>АНАЛИЗ</w:t>
      </w:r>
    </w:p>
    <w:p w:rsidR="00C4329A" w:rsidRPr="00E11192" w:rsidRDefault="00C4329A" w:rsidP="00E11192">
      <w:r w:rsidRPr="00E11192">
        <w:t>ЭФФЕКТИВНОСТИ РАБОТЫ ЭЛЕМЕНТОВ ОРГАНИЗАЦИОННОЙ СТРУКТУРЫ</w:t>
      </w:r>
      <w:r w:rsidRPr="00E11192">
        <w:br/>
        <w:t xml:space="preserve">ПО ПРОТИВОДЕЙСТВИЮ КОРРУПЦИИ В МУНИЦИПАЛДЬНЫХ ОБРАЗОВАНИЯХ </w:t>
      </w:r>
    </w:p>
    <w:p w:rsidR="00C4329A" w:rsidRPr="00E11192" w:rsidRDefault="00C4329A" w:rsidP="00E11192">
      <w:r w:rsidRPr="00E11192">
        <w:t xml:space="preserve">УЛЬЯНОВСКОЙ ОБЛАСТИ </w:t>
      </w:r>
    </w:p>
    <w:p w:rsidR="00C4329A" w:rsidRDefault="00C4329A">
      <w:pPr>
        <w:jc w:val="center"/>
      </w:pPr>
    </w:p>
    <w:p w:rsidR="00C4329A" w:rsidRDefault="00C432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ОБРАЗОВАНИЕ:</w:t>
      </w:r>
      <w:r w:rsidR="00007DB5">
        <w:rPr>
          <w:b/>
          <w:bCs/>
          <w:sz w:val="20"/>
          <w:szCs w:val="20"/>
        </w:rPr>
        <w:t xml:space="preserve"> «Вешкаймский район»</w:t>
      </w:r>
    </w:p>
    <w:p w:rsidR="00C4329A" w:rsidRDefault="00C432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ПЕРИОД МОНИТОРИНГ:  1 квартал 2019 год</w:t>
      </w:r>
    </w:p>
    <w:p w:rsidR="00C4329A" w:rsidRDefault="00C4329A">
      <w:pPr>
        <w:rPr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248"/>
        <w:gridCol w:w="1031"/>
        <w:gridCol w:w="8069"/>
        <w:gridCol w:w="1260"/>
        <w:gridCol w:w="1671"/>
      </w:tblGrid>
      <w:tr w:rsidR="00C4329A">
        <w:trPr>
          <w:trHeight w:val="23"/>
          <w:tblHeader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C4329A">
        <w:trPr>
          <w:trHeight w:val="51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pacing w:line="227" w:lineRule="exact"/>
              <w:rPr>
                <w:color w:val="000000"/>
              </w:rPr>
            </w:pPr>
            <w:r>
              <w:rPr>
                <w:b/>
                <w:color w:val="000000"/>
              </w:rPr>
              <w:t>За 1 квартал 2019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</w:rPr>
              <w:t>Примечание</w:t>
            </w: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pacing w:line="227" w:lineRule="exact"/>
              <w:rPr>
                <w:color w:val="000000"/>
              </w:rPr>
            </w:pPr>
            <w:r>
              <w:rPr>
                <w:color w:val="000000"/>
              </w:rPr>
              <w:t>За. 1 квартал 2018 г.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МЕЖВЕДОМСТВЕННАЯ КОМИССИЯ ПО ПРОТИВОДЕЙСТВИЮ КОРРУПЦИИ</w:t>
            </w:r>
          </w:p>
          <w:p w:rsidR="00C4329A" w:rsidRDefault="00C4329A">
            <w:pPr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1.Заседания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Межведомственной комиссии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Количество проведённых заседаний Межведомственной комиссии за отчётный период:</w:t>
            </w:r>
          </w:p>
          <w:p w:rsidR="00C4329A" w:rsidRDefault="00C4329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 участием сотрудников –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прокуратуры;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- внутренних 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 w:rsidP="00095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</w:t>
            </w:r>
          </w:p>
          <w:p w:rsidR="00C4329A" w:rsidRDefault="000A61E0" w:rsidP="000959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16"/>
                <w:szCs w:val="16"/>
              </w:rPr>
              <w:t>Данные подаются раздельно по ведомствам</w:t>
            </w: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 w:rsidP="00095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C4329A" w:rsidRDefault="000A61E0" w:rsidP="000959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С участием представителей средств массовой информации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2.Вопросы, рассматриваемые на заседаниях Межведомственной комиссии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Общее количество, рассмотренных на заседаниях Межведомственной комиссии вопросов (за отчётный период)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A1435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Стр. 4 = стр. 5 + 6 + 7 + 8 + 9</w:t>
            </w:r>
          </w:p>
        </w:tc>
      </w:tr>
      <w:tr w:rsidR="00C4329A">
        <w:trPr>
          <w:trHeight w:val="15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A1435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A1435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A1435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строительство, ремонт текущий и капитальный, ремонт дорог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иные сферы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A1435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</w:tbl>
    <w:p w:rsidR="00C4329A" w:rsidRDefault="00C4329A">
      <w:pPr>
        <w:sectPr w:rsidR="00C4329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077" w:right="1134" w:bottom="776" w:left="1134" w:header="709" w:footer="720" w:gutter="0"/>
          <w:cols w:space="720"/>
          <w:docGrid w:linePitch="600" w:charSpace="32768"/>
        </w:sectPr>
      </w:pPr>
    </w:p>
    <w:tbl>
      <w:tblPr>
        <w:tblW w:w="0" w:type="auto"/>
        <w:tblInd w:w="-15" w:type="dxa"/>
        <w:tblLayout w:type="fixed"/>
        <w:tblLook w:val="0000"/>
      </w:tblPr>
      <w:tblGrid>
        <w:gridCol w:w="3248"/>
        <w:gridCol w:w="1031"/>
        <w:gridCol w:w="8069"/>
        <w:gridCol w:w="1260"/>
        <w:gridCol w:w="1671"/>
      </w:tblGrid>
      <w:tr w:rsidR="00C4329A">
        <w:trPr>
          <w:trHeight w:val="18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bCs/>
                <w:sz w:val="20"/>
                <w:szCs w:val="20"/>
              </w:rPr>
              <w:t>3. Показатели результативности работы Межведомственной комиссии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зон повышенного коррупционного риска, выявленных по итогам заседания Межведомственной комиссии, отражённых в протоколах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Межведомственной комиссии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сходов граждан, на которых обсуждались вопросы реализации государственной политики в области противодействия коррупции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заседаний Межведомственной комиссии,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с принятием решения о рекомендации привлечь виновных лиц к дисциплинарной и материальной ответственности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8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9595B" w:rsidP="000959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средствах массовой информации и сайтах муниципального образования о деятельности Межведомственной комиссии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печатных СМИ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- в электронных СМИ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C4329A" w:rsidRDefault="000A61E0" w:rsidP="000959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16"/>
                <w:szCs w:val="16"/>
              </w:rPr>
              <w:t>Освещается деятельность Общественного совета раздельно по СМИ</w:t>
            </w: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0A61E0" w:rsidP="00095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4329A" w:rsidRDefault="000A61E0" w:rsidP="000959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. АНТИКОРРУПЦИОННАЯ ЭКСПЕРТИЗА НОРМАТИВНЫХ ПРАВОВЫХ АКТОВ И ИХ ПРОЕКТОВ    </w:t>
            </w:r>
          </w:p>
          <w:p w:rsidR="00C4329A" w:rsidRDefault="00C4329A">
            <w:r>
              <w:rPr>
                <w:b/>
                <w:color w:val="000000"/>
              </w:rPr>
              <w:t xml:space="preserve">         </w:t>
            </w:r>
          </w:p>
        </w:tc>
      </w:tr>
      <w:tr w:rsidR="00C4329A">
        <w:trPr>
          <w:trHeight w:val="27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Количественные показатели  </w:t>
            </w:r>
            <w:proofErr w:type="spellStart"/>
            <w:r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bCs/>
                <w:sz w:val="20"/>
                <w:szCs w:val="20"/>
              </w:rPr>
              <w:t xml:space="preserve"> экспертизы, проведённой в муниципальных районах (городских округах)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Общее количество подготовленных проектов нормативных правовых актов администрацией и советом депутатов муниципального образования за отчётный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33F4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33F4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проектах НПА: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Данные подавать раздельно по каждой строке </w:t>
            </w: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5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нормативных правовых актах: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Данные подавать раздельно по каждой строке</w:t>
            </w:r>
          </w:p>
        </w:tc>
      </w:tr>
      <w:tr w:rsidR="00C4329A">
        <w:trPr>
          <w:trHeight w:val="37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повышенного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</w:t>
            </w:r>
            <w:r>
              <w:rPr>
                <w:sz w:val="20"/>
                <w:szCs w:val="20"/>
              </w:rPr>
              <w:lastRenderedPageBreak/>
              <w:t>редакции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повышенного коррупционного риска и в которых усматривалась возможность дачи или получения взяток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Количественные показатели </w:t>
            </w:r>
            <w:proofErr w:type="spellStart"/>
            <w:r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bCs/>
                <w:sz w:val="20"/>
                <w:szCs w:val="20"/>
              </w:rPr>
              <w:t xml:space="preserve"> экспертизы, проведённой в сельских и городских поселениях муниципальных районов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Общее количество подготовленных проектов нормативных правовых актов администрациями и советами депутатов сельских поселений за отчётный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38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15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58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38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58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проектах НПА: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Данные подавать раздельно по каждой строке </w:t>
            </w:r>
          </w:p>
        </w:tc>
      </w:tr>
      <w:tr w:rsidR="00C4329A">
        <w:trPr>
          <w:trHeight w:val="5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коррупциогенных факторов, выявленных в нормативных правовых актах: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всего выявлено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из них исключено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Данные подавать раздельно по каждой строке</w:t>
            </w:r>
          </w:p>
        </w:tc>
      </w:tr>
      <w:tr w:rsidR="00C4329A">
        <w:trPr>
          <w:trHeight w:val="5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----</w:t>
            </w:r>
          </w:p>
          <w:p w:rsidR="00C4329A" w:rsidRDefault="00C43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----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повышенного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повышенного коррупционного риска и в которых усматривалась возможность дачи или получения взяток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879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Оценочные показатели качества проведённой </w:t>
            </w:r>
            <w:proofErr w:type="spellStart"/>
            <w:r>
              <w:rPr>
                <w:b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bCs/>
                <w:sz w:val="20"/>
                <w:szCs w:val="20"/>
              </w:rPr>
              <w:t xml:space="preserve"> экспертизы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муниципального образования (городского округа), в которые на стадии их подготовки (в тексты проектов НПА)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5441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сельских и городских поселений муниципального образования (городского округа), в которые на стадии их подготовки (в тексты проектов нормативных актов)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B5B0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879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6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действующих </w:t>
            </w:r>
            <w:r>
              <w:rPr>
                <w:sz w:val="20"/>
                <w:szCs w:val="20"/>
              </w:rPr>
              <w:t>НПА муниципального образования, сельских и городских поселений муниципального образования (городского округа),  в которые  по требованию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действующих</w:t>
            </w:r>
            <w:r>
              <w:rPr>
                <w:sz w:val="20"/>
                <w:szCs w:val="20"/>
              </w:rPr>
              <w:t xml:space="preserve"> НПА муниципального образования (городского округа), сельских и городских поселений муниципального образования, которые в течение отчётного периода по требованию прокуратуры были </w:t>
            </w:r>
            <w:r>
              <w:rPr>
                <w:b/>
                <w:sz w:val="20"/>
                <w:szCs w:val="20"/>
              </w:rPr>
              <w:t>отменены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6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зон повышенного коррупционного риска, выявленных за отчётный период сотрудниками органов местного самоуправления муниципального образования (городского округа)  (включая сельские и городские поселения муниципальных образований), ответственными за проведение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экспертизы, отражённых в экспертных заключениях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5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Характеристика выявленных юристами администрации и совета депутатов муниципального образования (городского округа) коррупциогенных факторов в нормативных правовых актах и проектах НПА за отчётный период, отражённых в экспертных заключениях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  <w:p w:rsidR="00C4329A" w:rsidRDefault="00C43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6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Pr="00397D98" w:rsidRDefault="00397D98">
            <w:pPr>
              <w:snapToGrid w:val="0"/>
              <w:jc w:val="center"/>
            </w:pPr>
            <w:r w:rsidRPr="00397D98"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Pr="00397D98" w:rsidRDefault="00397D98">
            <w:pPr>
              <w:snapToGrid w:val="0"/>
              <w:jc w:val="center"/>
            </w:pPr>
            <w:r w:rsidRPr="00397D98"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r>
              <w:rPr>
                <w:sz w:val="20"/>
                <w:szCs w:val="20"/>
              </w:rPr>
              <w:t xml:space="preserve">юридико-лингвистическая неопределенность - употребление </w:t>
            </w:r>
            <w:proofErr w:type="spellStart"/>
            <w:r>
              <w:rPr>
                <w:sz w:val="20"/>
                <w:szCs w:val="20"/>
              </w:rPr>
              <w:t>неустоявшихся</w:t>
            </w:r>
            <w:proofErr w:type="spellEnd"/>
            <w:r>
              <w:rPr>
                <w:sz w:val="20"/>
                <w:szCs w:val="20"/>
              </w:rPr>
              <w:t>, двусмысленных терминов и категорий оценочного характера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 Независимые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антикоррупционные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br/>
              <w:t>экспертизы</w:t>
            </w:r>
          </w:p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bCs/>
                <w:color w:val="000000"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Количество проектов нормативных правовых актов, в отношении которых проведена независимая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</w:pPr>
            <w: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5441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4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1B33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Количество утверждённых в течение отчётного периода нормативных правовых актов, подготовленных муниципальными образованиями, в отношении которых проведена независимая экспертиза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54415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5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1B33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9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397D9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ИНФОРМАЦИОННОЕ ОСВЕЩЕНИЕ ПРОТИВОДЕЙСТВИЯ КОРРУПЦИИ</w:t>
            </w:r>
          </w:p>
          <w:p w:rsidR="00C4329A" w:rsidRDefault="00C4329A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1. Организационная основа информационного освещения противодействия коррупции</w:t>
            </w:r>
          </w:p>
          <w:p w:rsidR="00C4329A" w:rsidRDefault="00C4329A">
            <w:pPr>
              <w:rPr>
                <w:color w:val="00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публикаций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направленности, подготовленных при непосредственном участии органов местного самоуправления и размещенных за отчётный период: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  печатных СМИ;</w:t>
            </w:r>
          </w:p>
          <w:p w:rsidR="00C4329A" w:rsidRDefault="00C4329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- в электронных СМИ </w:t>
            </w:r>
          </w:p>
          <w:p w:rsidR="00C4329A" w:rsidRDefault="00C4329A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71D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:rsidR="00C4329A" w:rsidRDefault="0097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Данные подаются раздельными цифрами за печатные и за электронные СМИ. </w:t>
            </w:r>
          </w:p>
        </w:tc>
      </w:tr>
      <w:tr w:rsidR="00C4329A">
        <w:trPr>
          <w:trHeight w:val="1089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7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4329A" w:rsidRDefault="00971D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выпусков передач на телеканалах (радиостанциях), предназначенных для освещения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 органов местного самоуправления, ответов на вопросы общественности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71DB9" w:rsidP="00971DB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71DB9" w:rsidP="00971D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1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ind w:left="360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КОМИССИЯ ПО УРЕГУЛИРОВАНИЮ КОНФЛИКТА ИНТЕРЕСОВ</w:t>
            </w:r>
          </w:p>
          <w:p w:rsidR="00C4329A" w:rsidRDefault="00C4329A">
            <w:pPr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количественные показатели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проведённых заседаний всех комиссий по урегулированию конфликта интересов в органах местного самоуправления муниципального района (городского округа) за отчётный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35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2. Специфика рассмотренных вопросов (материалов)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6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направленных в комиссии по урегулированию конфликта интересов и </w:t>
            </w:r>
            <w:r>
              <w:rPr>
                <w:sz w:val="20"/>
                <w:szCs w:val="20"/>
              </w:rPr>
              <w:lastRenderedPageBreak/>
              <w:t>рассмотренных ими материалов (обращений), касающихся несоблюдения служащими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5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7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рассмотренных на заседаниях комиссии вопросов, касающихся рассмотрения результатов, полученных в ходе осуществления контроля за расходами муниципальных служащих (иных лиц)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Результаты работы комиссии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установленных комиссиями нарушений, касающихся рассмотрения результатов, полученных в ходе осуществления контроля за расходами муниципальных служащих (иных лиц)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7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служащих, отстранённых в результате заседания комиссии от исполнения ими своих обязанностей в связи с наличием конфликта интересов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нарушения, не связанные с утратой доверия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 в связи с утратой доверия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4A5ABE" w:rsidP="0094738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47384" w:rsidP="0094738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ЭФФЕКТИВНОСТЬ АНТИКОРРУПЦИОННОЙ РАБОТЫ В МУНИЦИПАЛЬНЫХ ОБРАЗОВАТЕЛЬНЫХ УЧРЕЖДЕНИЯХ   </w:t>
            </w:r>
          </w:p>
          <w:p w:rsidR="00C4329A" w:rsidRDefault="00C4329A">
            <w:pPr>
              <w:autoSpaceDE w:val="0"/>
              <w:ind w:left="360"/>
            </w:pPr>
            <w:r>
              <w:rPr>
                <w:b/>
                <w:bCs/>
              </w:rPr>
              <w:t xml:space="preserve">    </w:t>
            </w:r>
          </w:p>
        </w:tc>
      </w:tr>
      <w:tr w:rsidR="00C4329A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Количественные показатели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Общее количество всех средних, основных общеобразовательных школ в муниципальном образовании, включая профильные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DA7701" w:rsidP="007865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2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DA7701" w:rsidP="007865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9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образования по учебным предметам: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«История»,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«Литература», 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«Обществознание», 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«Право», </w:t>
            </w:r>
          </w:p>
          <w:p w:rsidR="00C4329A" w:rsidRDefault="00C4329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«Экономика»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DA7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Данные представить с разбивкой по учебным предметам</w:t>
            </w:r>
          </w:p>
        </w:tc>
      </w:tr>
      <w:tr w:rsidR="00C4329A">
        <w:trPr>
          <w:trHeight w:val="10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C4329A" w:rsidRDefault="00DA7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2. Количество проведенных в средних, основных школах МО за отчетный период воспитательных мероприятий с элементами </w:t>
            </w:r>
            <w:proofErr w:type="spellStart"/>
            <w:r>
              <w:rPr>
                <w:bCs/>
                <w:sz w:val="20"/>
                <w:szCs w:val="20"/>
              </w:rPr>
              <w:t>антикоррупионного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</w:t>
            </w:r>
            <w:proofErr w:type="spellStart"/>
            <w:r>
              <w:rPr>
                <w:bCs/>
                <w:sz w:val="20"/>
                <w:szCs w:val="20"/>
              </w:rPr>
              <w:t>фотоотчёты</w:t>
            </w:r>
            <w:proofErr w:type="spellEnd"/>
            <w:r>
              <w:rPr>
                <w:bCs/>
                <w:sz w:val="20"/>
                <w:szCs w:val="20"/>
              </w:rPr>
              <w:t xml:space="preserve">, опубликованные на официальных сайтах органов МСУ) 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проведенных открытых уроков по учебным предметам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6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проведенных классных часов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проведенных тематических встреч  (в том числе с сотрудниками правоохранительных органов) и экскурсий обучающихся по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8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проведенных централизованно (во всех основных и средних школах МО) конкурсов детского творчества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7865F7" w:rsidP="007865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ind w:left="360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АНАЛИЗ ОБРАЩЕНИЙ В ОРГАНЫ МЕСТНОГО САМОУПРАВЛЕНИЯ ПО ФАКТАМ КОРРУПЦИИ  </w:t>
            </w:r>
          </w:p>
          <w:p w:rsidR="00C4329A" w:rsidRDefault="00C4329A">
            <w:pPr>
              <w:autoSpaceDE w:val="0"/>
              <w:ind w:left="360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C4329A">
        <w:trPr>
          <w:trHeight w:val="42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Количественные показатели поступивших обращений по возможным фактам коррупции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Общее 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письменных и устных обращений граждан и организаций (включая анонимные) по всем вопросам за отчётный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67317A" w:rsidP="006731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Обращения по всем вопросам включая коррупционные обращения </w:t>
            </w:r>
          </w:p>
        </w:tc>
      </w:tr>
      <w:tr w:rsidR="00C4329A">
        <w:trPr>
          <w:trHeight w:val="4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67317A" w:rsidP="006731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39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 во все органы местного самоуправления муниципального образования письменных и устных обращений граждан и организаций (включая анонимные) по возможным фактам коррупции,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67317A" w:rsidP="006731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Стр. 73 = стр.74 +  … + 79</w:t>
            </w: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67317A" w:rsidP="006731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от исполнительных и представительных органов государственной власти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67317A" w:rsidP="006731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от граждан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4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от правоохранительных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от контрольно-надзорных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от иных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Тематическая направленность поступивших/рассмотренных обращений по фактам коррупции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«бытовой» коррупции в сфере здравоохранения, образования и т.п.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Стр. 73 = стр.80 + … + 90</w:t>
            </w: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1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 участием сотрудников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среди чиновников других органов власти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земельных участков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 рассмотренных обращений о проявлениях коррупции при оказании государственных и муниципальных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в сфере коммунального обслуживания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субсидий, или иной финансовой помощи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приватизации муниципального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предоставлении преференций хозяйствующим субъектам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при выделении жилья (сиротам, ветеранам Великой Отечественной войны, отдельным категориям граждан)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2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1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коррупции в иных сферах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FB2ABE" w:rsidP="00FB2A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 Оценка результатов рассмотрения обращений граждан и организаций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представлений органов прокуратуры, поступивших в органы местного самоуправления муниципального района (включая поступившие в сельские и городские поселения муниципального района) или городского округа, в которых обращается внимание на неудовлетворительную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14A77" w:rsidP="00914A7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5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14A77" w:rsidP="00914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зон повышенного коррупционного риска, выявленных по результатам рассмотрения поступивших в течение отчётного периода обращений граждан и организаций по возможным фактам коррупции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14A77" w:rsidP="00914A7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914A77" w:rsidP="00914A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ind w:left="3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РЕАЛИЗАЦИЯ ПРИНЦИПА НЕОТВРАТИМОСТИ ОТВЕТСТВЕННОСТИ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</w:t>
            </w:r>
          </w:p>
          <w:p w:rsidR="00C4329A" w:rsidRDefault="00C4329A">
            <w:pPr>
              <w:autoSpaceDE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</w:tr>
      <w:tr w:rsidR="00C4329A">
        <w:trPr>
          <w:trHeight w:val="915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Количественные показатели реализации принципа неотвратимости наказания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финансового контроля в отношении  муниципальных образований и подведомственных им учреждений, в том числе: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Управлением федерального казначейства по Ульяновской области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Счётной палатой Ульяновской области;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Контрольным управлением администрации Губернатора Ульяновской области </w:t>
            </w:r>
          </w:p>
          <w:p w:rsidR="00C4329A" w:rsidRDefault="00C4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контрольно счётной комиссией Совета депутатов муниципального образования;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- финансовым органом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-----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-----</w:t>
            </w:r>
          </w:p>
          <w:p w:rsidR="00C4329A" w:rsidRDefault="00C432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-----</w:t>
            </w:r>
          </w:p>
          <w:p w:rsidR="00C4329A" w:rsidRDefault="003A4A65" w:rsidP="003A4A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C4329A" w:rsidRDefault="003A4A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16"/>
                <w:szCs w:val="16"/>
              </w:rPr>
              <w:t>Данные представлять по каждому ревизионному органу раздельно</w:t>
            </w:r>
          </w:p>
        </w:tc>
      </w:tr>
      <w:tr w:rsidR="00C4329A">
        <w:trPr>
          <w:trHeight w:val="10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-----</w:t>
            </w:r>
          </w:p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-----</w:t>
            </w:r>
          </w:p>
          <w:p w:rsidR="00C4329A" w:rsidRDefault="00C432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-----</w:t>
            </w:r>
          </w:p>
          <w:p w:rsidR="00C4329A" w:rsidRDefault="003A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4329A" w:rsidRDefault="003A4A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6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(показатель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</w:t>
            </w:r>
          </w:p>
        </w:tc>
      </w:tr>
      <w:tr w:rsidR="00C4329A">
        <w:trPr>
          <w:trHeight w:val="6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42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дисциплинарной ответственности </w:t>
            </w:r>
            <w:r>
              <w:rPr>
                <w:b/>
                <w:sz w:val="20"/>
                <w:szCs w:val="20"/>
              </w:rPr>
              <w:t>(показатель n2)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1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материальной ответственности</w:t>
            </w:r>
            <w:r>
              <w:rPr>
                <w:b/>
                <w:sz w:val="20"/>
                <w:szCs w:val="20"/>
              </w:rPr>
              <w:t xml:space="preserve"> (показатель n3)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C4329A">
        <w:trPr>
          <w:trHeight w:val="49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vertAlign w:val="subscript"/>
              </w:rPr>
            </w:pPr>
          </w:p>
        </w:tc>
      </w:tr>
      <w:tr w:rsidR="00C4329A">
        <w:trPr>
          <w:trHeight w:val="27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Количество актов проверок, проведённых контрольно-счётной комиссией Совета депутатов муниципального образования и  финансового органа муниципального образования,  и переданных в правоохранительные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40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A557E8" w:rsidP="00654BC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4329A">
        <w:trPr>
          <w:trHeight w:val="450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Результативность работы по реализации принципа неотвратимости наказания</w:t>
            </w: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autoSpaceDE w:val="0"/>
              <w:rPr>
                <w:bCs/>
                <w:sz w:val="20"/>
                <w:szCs w:val="20"/>
              </w:rPr>
            </w:pP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ОМСУ (работников учреждений) к дисциплинарной ответственности соразмерно допущенным нарушениям (при наличии подтверждающих документов), в т.ч.:</w:t>
            </w:r>
          </w:p>
          <w:p w:rsidR="00C4329A" w:rsidRDefault="00C43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 xml:space="preserve">Стр. 98 = стр.99 + …. + 103 </w:t>
            </w:r>
          </w:p>
        </w:tc>
      </w:tr>
      <w:tr w:rsidR="00C4329A">
        <w:trPr>
          <w:trHeight w:val="45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выговор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0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4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освобождение от замещаемой должности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Всего привлечено должностных лиц (сотрудников учреждений) к материальной ответственности </w:t>
            </w:r>
          </w:p>
          <w:p w:rsidR="00C4329A" w:rsidRDefault="00C43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6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1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к административной ответственности, в т.ч:</w:t>
            </w:r>
          </w:p>
          <w:p w:rsidR="00C4329A" w:rsidRDefault="00C432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r>
              <w:rPr>
                <w:color w:val="000000"/>
                <w:sz w:val="20"/>
                <w:szCs w:val="20"/>
              </w:rPr>
              <w:t>Стр.105 = стр. 106 + 107</w:t>
            </w:r>
          </w:p>
        </w:tc>
      </w:tr>
      <w:tr w:rsidR="00C4329A">
        <w:trPr>
          <w:trHeight w:val="13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4329A">
        <w:trPr>
          <w:trHeight w:val="25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85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21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>дисквалификация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  <w:tr w:rsidR="00C4329A">
        <w:trPr>
          <w:trHeight w:val="33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8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E80CE7" w:rsidP="00E80C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color w:val="000000"/>
              </w:rPr>
            </w:pPr>
          </w:p>
        </w:tc>
      </w:tr>
    </w:tbl>
    <w:p w:rsidR="00C4329A" w:rsidRDefault="00C4329A">
      <w:pPr>
        <w:jc w:val="both"/>
      </w:pPr>
    </w:p>
    <w:p w:rsidR="00C4329A" w:rsidRDefault="00C4329A">
      <w:pPr>
        <w:autoSpaceDE w:val="0"/>
        <w:jc w:val="both"/>
      </w:pPr>
      <w:r>
        <w:rPr>
          <w:b/>
        </w:rPr>
        <w:t>Примечание:</w:t>
      </w:r>
      <w:r>
        <w:t xml:space="preserve"> В дополнение к мониторингу приложить справки:</w:t>
      </w:r>
    </w:p>
    <w:p w:rsidR="00C4329A" w:rsidRDefault="00C4329A">
      <w:pPr>
        <w:numPr>
          <w:ilvl w:val="0"/>
          <w:numId w:val="2"/>
        </w:numPr>
        <w:autoSpaceDE w:val="0"/>
        <w:jc w:val="both"/>
      </w:pPr>
      <w:r>
        <w:t>(раздел «Р</w:t>
      </w:r>
      <w:r>
        <w:rPr>
          <w:bCs/>
        </w:rPr>
        <w:t>еализация принципа неотвратимости 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b/>
          <w:bCs/>
        </w:rPr>
        <w:t xml:space="preserve"> </w:t>
      </w:r>
      <w:r>
        <w:t>с указанием занимаемых должностей  лиц, привлечённых к дисциплинарной и административной ответственности.</w:t>
      </w:r>
    </w:p>
    <w:p w:rsidR="00C4329A" w:rsidRDefault="00C4329A">
      <w:pPr>
        <w:numPr>
          <w:ilvl w:val="0"/>
          <w:numId w:val="2"/>
        </w:numPr>
        <w:autoSpaceDE w:val="0"/>
        <w:jc w:val="both"/>
      </w:pPr>
      <w:r>
        <w:t>(разделы «Общественный совет по профилактике коррупции» и  «Информационное освещение противодействия коррупции»)</w:t>
      </w:r>
    </w:p>
    <w:p w:rsidR="00C4329A" w:rsidRDefault="00C4329A">
      <w:pPr>
        <w:autoSpaceDE w:val="0"/>
        <w:ind w:left="360"/>
        <w:jc w:val="both"/>
      </w:pPr>
      <w:r>
        <w:t xml:space="preserve">      -  для печатных СМИ с указанием наименования печатного издания, даты и номера издания, наименование публикации;</w:t>
      </w:r>
    </w:p>
    <w:p w:rsidR="00C4329A" w:rsidRDefault="00C4329A">
      <w:pPr>
        <w:autoSpaceDE w:val="0"/>
        <w:ind w:left="360"/>
        <w:jc w:val="both"/>
      </w:pPr>
      <w:r>
        <w:t xml:space="preserve">      - для электронных СМИ наименование сайта и публикации.</w:t>
      </w:r>
    </w:p>
    <w:p w:rsidR="00C4329A" w:rsidRDefault="00C4329A">
      <w:pPr>
        <w:jc w:val="center"/>
      </w:pPr>
    </w:p>
    <w:p w:rsidR="00C4329A" w:rsidRDefault="00C4329A">
      <w:pPr>
        <w:jc w:val="center"/>
      </w:pPr>
    </w:p>
    <w:p w:rsidR="00C4329A" w:rsidRDefault="00C4329A">
      <w:pPr>
        <w:jc w:val="center"/>
      </w:pPr>
    </w:p>
    <w:p w:rsidR="00C4329A" w:rsidRDefault="00C4329A">
      <w:pPr>
        <w:jc w:val="center"/>
      </w:pPr>
      <w:r>
        <w:rPr>
          <w:b/>
        </w:rPr>
        <w:lastRenderedPageBreak/>
        <w:t xml:space="preserve">Отчёт </w:t>
      </w:r>
    </w:p>
    <w:p w:rsidR="00C4329A" w:rsidRDefault="00C4329A">
      <w:pPr>
        <w:jc w:val="center"/>
      </w:pPr>
      <w:r>
        <w:t xml:space="preserve">о ходе выполнения программы «Противодействие коррупции в муниципальном </w:t>
      </w:r>
      <w:proofErr w:type="spellStart"/>
      <w:r>
        <w:t>образовании_____________________</w:t>
      </w:r>
      <w:proofErr w:type="spellEnd"/>
      <w:r>
        <w:t xml:space="preserve">» </w:t>
      </w:r>
      <w:r>
        <w:rPr>
          <w:u w:val="single"/>
        </w:rPr>
        <w:t>на 2019-2021 годы</w:t>
      </w:r>
      <w:r>
        <w:t>»</w:t>
      </w:r>
    </w:p>
    <w:p w:rsidR="00C4329A" w:rsidRDefault="00C4329A">
      <w:pPr>
        <w:jc w:val="center"/>
      </w:pPr>
      <w:r>
        <w:t xml:space="preserve">по состоянию на </w:t>
      </w:r>
      <w:r>
        <w:rPr>
          <w:u w:val="single"/>
        </w:rPr>
        <w:t xml:space="preserve">31 марта  2019 </w:t>
      </w:r>
      <w:r>
        <w:t>г.</w:t>
      </w:r>
    </w:p>
    <w:p w:rsidR="00C4329A" w:rsidRDefault="00C4329A">
      <w:pPr>
        <w:jc w:val="right"/>
      </w:pPr>
    </w:p>
    <w:p w:rsidR="00C4329A" w:rsidRDefault="00C4329A">
      <w:pPr>
        <w:rPr>
          <w:sz w:val="16"/>
          <w:szCs w:val="16"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0" w:type="auto"/>
        <w:tblInd w:w="-99" w:type="dxa"/>
        <w:tblLayout w:type="fixed"/>
        <w:tblLook w:val="0000"/>
      </w:tblPr>
      <w:tblGrid>
        <w:gridCol w:w="660"/>
        <w:gridCol w:w="2592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58"/>
      </w:tblGrid>
      <w:tr w:rsidR="00C4329A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C4329A" w:rsidRDefault="00C43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C4329A" w:rsidRDefault="00C4329A">
            <w:pPr>
              <w:jc w:val="center"/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C4329A">
        <w:trPr>
          <w:trHeight w:val="4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4329A" w:rsidRDefault="00C43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</w:tr>
      <w:tr w:rsidR="00C4329A">
        <w:tc>
          <w:tcPr>
            <w:tcW w:w="154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</w:pPr>
            <w:r>
              <w:rPr>
                <w:rStyle w:val="a3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C4329A" w:rsidRDefault="00C4329A">
            <w:pPr>
              <w:jc w:val="center"/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 w:rsidP="003A1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3A14B9" w:rsidP="003A14B9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 w:rsidP="003A14B9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 w:rsidP="003A14B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15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Style w:val="a3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C4329A" w:rsidRDefault="00C4329A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  <w:tr w:rsidR="00C432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29A" w:rsidRDefault="00C43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C4329A" w:rsidRDefault="00C4329A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29A" w:rsidRDefault="00C4329A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9A" w:rsidRDefault="00C432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4329A" w:rsidRDefault="00C4329A">
      <w:pPr>
        <w:spacing w:line="227" w:lineRule="exact"/>
      </w:pPr>
      <w:r>
        <w:t>Примечание:  1. Данный отчёт даётся только по задачам и мероприятиям, которые проводились с финансированием, где</w:t>
      </w:r>
    </w:p>
    <w:p w:rsidR="00C4329A" w:rsidRDefault="00C4329A">
      <w:pPr>
        <w:spacing w:line="227" w:lineRule="exact"/>
      </w:pPr>
      <w:r>
        <w:t xml:space="preserve">                       гр. 3 =  гр.4 + 5 + 6 + 7;</w:t>
      </w:r>
    </w:p>
    <w:p w:rsidR="00C4329A" w:rsidRDefault="00C4329A">
      <w:pPr>
        <w:spacing w:line="227" w:lineRule="exact"/>
      </w:pPr>
      <w:r>
        <w:t xml:space="preserve">                       гр. 8 =  гр. 9 + 10 + 11 + 12;</w:t>
      </w:r>
    </w:p>
    <w:p w:rsidR="00C4329A" w:rsidRDefault="00C4329A">
      <w:pPr>
        <w:spacing w:line="227" w:lineRule="exact"/>
      </w:pPr>
      <w:r>
        <w:t xml:space="preserve">                       гр. 13 =  гр. 14 + 15 + 16 + 17;</w:t>
      </w:r>
    </w:p>
    <w:p w:rsidR="00C4329A" w:rsidRDefault="00C4329A">
      <w:pPr>
        <w:spacing w:line="227" w:lineRule="exact"/>
      </w:pPr>
      <w:r>
        <w:t xml:space="preserve">                      Строки </w:t>
      </w:r>
      <w:r>
        <w:rPr>
          <w:b/>
        </w:rPr>
        <w:t xml:space="preserve">Итого </w:t>
      </w:r>
      <w:r>
        <w:t>равны сумме строк  в задачах</w:t>
      </w:r>
    </w:p>
    <w:p w:rsidR="00C4329A" w:rsidRDefault="00C4329A">
      <w:pPr>
        <w:spacing w:line="227" w:lineRule="exact"/>
        <w:rPr>
          <w:b/>
        </w:rPr>
      </w:pPr>
      <w:r>
        <w:t xml:space="preserve">                      Строка </w:t>
      </w:r>
      <w:r>
        <w:rPr>
          <w:b/>
        </w:rPr>
        <w:t>Всего</w:t>
      </w:r>
      <w:r>
        <w:t xml:space="preserve"> равна сумме строк </w:t>
      </w:r>
      <w:r>
        <w:rPr>
          <w:b/>
        </w:rPr>
        <w:t>Итого</w:t>
      </w:r>
    </w:p>
    <w:p w:rsidR="00C4329A" w:rsidRDefault="00C4329A">
      <w:pPr>
        <w:spacing w:line="227" w:lineRule="exact"/>
      </w:pPr>
      <w:r>
        <w:rPr>
          <w:b/>
        </w:rPr>
        <w:t xml:space="preserve">                        </w:t>
      </w:r>
      <w:r>
        <w:t xml:space="preserve">2. Ф.Б.  – федеральный бюджет; </w:t>
      </w:r>
    </w:p>
    <w:p w:rsidR="00C4329A" w:rsidRDefault="00C4329A">
      <w:pPr>
        <w:spacing w:line="227" w:lineRule="exact"/>
      </w:pPr>
      <w:r>
        <w:t xml:space="preserve">                            О.Б. – областной бюджет;</w:t>
      </w:r>
    </w:p>
    <w:p w:rsidR="00C4329A" w:rsidRDefault="00C4329A">
      <w:pPr>
        <w:spacing w:line="227" w:lineRule="exact"/>
      </w:pPr>
      <w:r>
        <w:t xml:space="preserve">                            М.Б. – местный бюджет;</w:t>
      </w:r>
    </w:p>
    <w:p w:rsidR="00C4329A" w:rsidRDefault="00C4329A">
      <w:pPr>
        <w:spacing w:line="227" w:lineRule="exact"/>
      </w:pPr>
      <w:r>
        <w:t xml:space="preserve">                            В.С. – внебюджетные средств</w:t>
      </w:r>
    </w:p>
    <w:p w:rsidR="00C4329A" w:rsidRDefault="00C4329A"/>
    <w:p w:rsidR="00C4329A" w:rsidRDefault="00C4329A">
      <w:pPr>
        <w:ind w:firstLine="540"/>
        <w:jc w:val="both"/>
      </w:pPr>
      <w:r>
        <w:t xml:space="preserve"> </w:t>
      </w:r>
      <w:r>
        <w:rPr>
          <w:b/>
        </w:rPr>
        <w:t xml:space="preserve">К мониторингу прилагается Отчёт (справка) о выполнении муниципальной программы противодействия коррупции </w:t>
      </w:r>
      <w:r>
        <w:rPr>
          <w:b/>
        </w:rPr>
        <w:br/>
        <w:t>за 1 квартал 2019 года. Справка подаётся в произвольной форме на 2-3 листах с перечислением основных проведённых мероприятий в муниципальном образовании и сельских поселениях.</w:t>
      </w:r>
    </w:p>
    <w:sectPr w:rsidR="00C432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77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51" w:rsidRDefault="00B91751">
      <w:r>
        <w:separator/>
      </w:r>
    </w:p>
  </w:endnote>
  <w:endnote w:type="continuationSeparator" w:id="1">
    <w:p w:rsidR="00B91751" w:rsidRDefault="00B9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51" w:rsidRDefault="00B91751">
      <w:r>
        <w:separator/>
      </w:r>
    </w:p>
  </w:footnote>
  <w:footnote w:type="continuationSeparator" w:id="1">
    <w:p w:rsidR="00B91751" w:rsidRDefault="00B91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6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4329A" w:rsidRDefault="00C4329A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11192">
                  <w:rPr>
                    <w:rStyle w:val="a4"/>
                    <w:noProof/>
                  </w:rPr>
                  <w:t>12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9A" w:rsidRDefault="00C432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7DB5"/>
    <w:rsid w:val="00007DB5"/>
    <w:rsid w:val="0009595B"/>
    <w:rsid w:val="000A61E0"/>
    <w:rsid w:val="00164756"/>
    <w:rsid w:val="00191F07"/>
    <w:rsid w:val="001A057E"/>
    <w:rsid w:val="001B3395"/>
    <w:rsid w:val="00245055"/>
    <w:rsid w:val="0038796A"/>
    <w:rsid w:val="00397D98"/>
    <w:rsid w:val="003A14B9"/>
    <w:rsid w:val="003A4A65"/>
    <w:rsid w:val="003D7EEC"/>
    <w:rsid w:val="004A5ABE"/>
    <w:rsid w:val="00544158"/>
    <w:rsid w:val="005C00FB"/>
    <w:rsid w:val="00654BCC"/>
    <w:rsid w:val="006723CF"/>
    <w:rsid w:val="0067317A"/>
    <w:rsid w:val="007865F7"/>
    <w:rsid w:val="007B5B0A"/>
    <w:rsid w:val="00853B90"/>
    <w:rsid w:val="00881C8D"/>
    <w:rsid w:val="00914A77"/>
    <w:rsid w:val="00947384"/>
    <w:rsid w:val="00971DB9"/>
    <w:rsid w:val="00994812"/>
    <w:rsid w:val="009D0720"/>
    <w:rsid w:val="00A557E8"/>
    <w:rsid w:val="00AB214C"/>
    <w:rsid w:val="00B27487"/>
    <w:rsid w:val="00B91751"/>
    <w:rsid w:val="00C26615"/>
    <w:rsid w:val="00C4329A"/>
    <w:rsid w:val="00CA1435"/>
    <w:rsid w:val="00D6101F"/>
    <w:rsid w:val="00DA7701"/>
    <w:rsid w:val="00E11192"/>
    <w:rsid w:val="00E33F46"/>
    <w:rsid w:val="00E80CE7"/>
    <w:rsid w:val="00F17ECA"/>
    <w:rsid w:val="00F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Reanimator Extreme Edition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Пользователь</dc:creator>
  <cp:lastModifiedBy>User</cp:lastModifiedBy>
  <cp:revision>2</cp:revision>
  <cp:lastPrinted>2019-04-05T04:10:00Z</cp:lastPrinted>
  <dcterms:created xsi:type="dcterms:W3CDTF">2019-04-29T11:39:00Z</dcterms:created>
  <dcterms:modified xsi:type="dcterms:W3CDTF">2019-04-29T11:39:00Z</dcterms:modified>
</cp:coreProperties>
</file>