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tabs>
          <w:tab w:val="center" w:pos="467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 результатах деятельности финансового управления администрации муниципального образования «Вешкаймский район»</w:t>
      </w:r>
    </w:p>
    <w:p>
      <w:pPr>
        <w:pStyle w:val="Normal"/>
        <w:tabs>
          <w:tab w:val="center" w:pos="4677" w:leader="none"/>
          <w:tab w:val="center" w:pos="4819" w:leader="none"/>
          <w:tab w:val="left" w:pos="763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 1 квартал 201</w:t>
      </w:r>
      <w:r>
        <w:rPr>
          <w:b/>
          <w:sz w:val="28"/>
          <w:szCs w:val="28"/>
        </w:rPr>
        <w:t xml:space="preserve">9</w:t>
      </w:r>
      <w:r>
        <w:rPr>
          <w:b/>
          <w:sz w:val="28"/>
          <w:szCs w:val="28"/>
        </w:rPr>
        <w:t xml:space="preserve"> года </w:t>
      </w:r>
    </w:p>
    <w:p>
      <w:pPr>
        <w:pStyle w:val="Normal"/>
        <w:tabs>
          <w:tab w:val="center" w:pos="4677" w:leader="none"/>
          <w:tab w:val="center" w:pos="4819" w:leader="none"/>
          <w:tab w:val="left" w:pos="763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Организационная, методологическая и информационная  работа</w:t>
      </w:r>
    </w:p>
    <w:p>
      <w:pPr>
        <w:pStyle w:val="Normal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финансового управления администрации муниципального образования «Вешкаймский район»  в 1 квартале 201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года осуществлялась в соответствии с утверждённым планом.</w:t>
      </w:r>
    </w:p>
    <w:p>
      <w:pPr>
        <w:pStyle w:val="Normal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направлениями работы были:</w:t>
      </w:r>
    </w:p>
    <w:p>
      <w:pPr>
        <w:pStyle w:val="Normal"/>
        <w:ind w:right="-2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Обеспечение формирования прогноза доходов и расходов бюджета муниципального образования «Вешкаймский район»;</w:t>
      </w:r>
    </w:p>
    <w:p>
      <w:pPr>
        <w:pStyle w:val="Normal"/>
        <w:ind w:right="-2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Обеспечение в установленном законодательством Российской Федерации порядке казначейского исполнения бюджета муниципального образования «Вешкаймский район»;</w:t>
      </w:r>
    </w:p>
    <w:p>
      <w:pPr>
        <w:pStyle w:val="Normal"/>
        <w:ind w:right="-2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Консолидация финансовых ресурсов за счет использования внутренних резервов и привлечения денежных средств из внешних источников;</w:t>
      </w:r>
    </w:p>
    <w:p>
      <w:pPr>
        <w:pStyle w:val="Normal"/>
        <w:ind w:right="-2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Осуществление финансового контроля за целевым и рациональным использованием бюджетных средств.</w:t>
      </w:r>
    </w:p>
    <w:p>
      <w:pPr>
        <w:pStyle w:val="Normal"/>
        <w:ind w:right="-268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tabs>
          <w:tab w:val="center" w:pos="4677" w:leader="none"/>
          <w:tab w:val="center" w:pos="4819" w:leader="none"/>
          <w:tab w:val="left" w:pos="763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за 1 квартал 201</w:t>
      </w:r>
      <w:r>
        <w:rPr>
          <w:b/>
          <w:sz w:val="28"/>
          <w:szCs w:val="28"/>
        </w:rPr>
        <w:t xml:space="preserve">9</w:t>
      </w:r>
      <w:r>
        <w:rPr>
          <w:b/>
          <w:sz w:val="28"/>
          <w:szCs w:val="28"/>
        </w:rPr>
        <w:t xml:space="preserve"> года</w:t>
      </w:r>
    </w:p>
    <w:p>
      <w:pPr>
        <w:pStyle w:val="Normal"/>
        <w:jc w:val="center"/>
        <w:tabs>
          <w:tab w:val="center" w:pos="4677" w:leader="none"/>
          <w:tab w:val="center" w:pos="4819" w:leader="none"/>
          <w:tab w:val="left" w:pos="763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консолидированного бюджета «Вешкаймский район» </w:t>
      </w:r>
    </w:p>
    <w:p>
      <w:pPr>
        <w:pStyle w:val="Normal"/>
        <w:jc w:val="center"/>
        <w:tabs>
          <w:tab w:val="center" w:pos="467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BodyText"/>
        <w:ind w:firstLine="709"/>
        <w:rPr>
          <w:szCs w:val="28"/>
        </w:rPr>
      </w:pPr>
      <w:r>
        <w:rPr>
          <w:szCs w:val="28"/>
        </w:rPr>
        <w:t xml:space="preserve">Основные параметры исполнения консолидированного бюджета муниципального образования «Вешкаймский район» за </w:t>
      </w:r>
      <w:r>
        <w:rPr>
          <w:szCs w:val="28"/>
        </w:rPr>
        <w:t xml:space="preserve">1 квартал </w:t>
      </w:r>
      <w:r>
        <w:rPr>
          <w:szCs w:val="28"/>
        </w:rPr>
        <w:t xml:space="preserve">201</w:t>
      </w:r>
      <w:r>
        <w:rPr>
          <w:szCs w:val="28"/>
        </w:rPr>
        <w:t xml:space="preserve">9</w:t>
      </w:r>
      <w:r>
        <w:rPr>
          <w:szCs w:val="28"/>
        </w:rPr>
        <w:t xml:space="preserve"> год</w:t>
      </w:r>
      <w:r>
        <w:rPr>
          <w:szCs w:val="28"/>
        </w:rPr>
        <w:t xml:space="preserve">а</w:t>
      </w:r>
      <w:r>
        <w:rPr>
          <w:szCs w:val="28"/>
        </w:rPr>
        <w:t xml:space="preserve">:</w:t>
      </w:r>
    </w:p>
    <w:p>
      <w:pPr>
        <w:pStyle w:val="BodyText"/>
        <w:ind w:firstLine="709"/>
        <w:rPr>
          <w:szCs w:val="28"/>
        </w:rPr>
      </w:pPr>
      <w:r>
        <w:rPr>
          <w:szCs w:val="28"/>
        </w:rPr>
        <w:t xml:space="preserve">- доходы      -  </w:t>
      </w:r>
      <w:r>
        <w:rPr>
          <w:szCs w:val="28"/>
        </w:rPr>
        <w:t xml:space="preserve">   94 090,3</w:t>
      </w:r>
      <w:r>
        <w:rPr>
          <w:szCs w:val="28"/>
        </w:rPr>
        <w:t xml:space="preserve">  тыс. руб., </w:t>
      </w:r>
    </w:p>
    <w:p>
      <w:pPr>
        <w:pStyle w:val="BodyText"/>
        <w:ind w:firstLine="709"/>
        <w:rPr>
          <w:szCs w:val="28"/>
        </w:rPr>
      </w:pPr>
      <w:r>
        <w:rPr>
          <w:szCs w:val="28"/>
        </w:rPr>
        <w:t xml:space="preserve">- расходы    -   </w:t>
      </w:r>
      <w:r>
        <w:rPr>
          <w:szCs w:val="28"/>
        </w:rPr>
        <w:t xml:space="preserve">  </w:t>
      </w:r>
      <w:r>
        <w:rPr>
          <w:szCs w:val="28"/>
        </w:rPr>
        <w:t xml:space="preserve">85 331,8</w:t>
      </w:r>
      <w:r>
        <w:rPr>
          <w:szCs w:val="28"/>
        </w:rPr>
        <w:t xml:space="preserve">тыс. руб.,</w:t>
      </w:r>
    </w:p>
    <w:p>
      <w:pPr>
        <w:pStyle w:val="BodyText"/>
        <w:ind w:firstLine="709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 xml:space="preserve">профицит</w:t>
      </w:r>
      <w:r>
        <w:rPr>
          <w:szCs w:val="28"/>
        </w:rPr>
        <w:t xml:space="preserve">  -    </w:t>
      </w:r>
      <w:r>
        <w:rPr>
          <w:szCs w:val="28"/>
        </w:rPr>
        <w:t xml:space="preserve"> </w:t>
      </w:r>
      <w:r>
        <w:rPr>
          <w:szCs w:val="28"/>
        </w:rPr>
        <w:t xml:space="preserve">8 758,5</w:t>
      </w:r>
      <w:r>
        <w:rPr>
          <w:szCs w:val="28"/>
        </w:rPr>
        <w:t xml:space="preserve"> тыс. руб.</w:t>
      </w:r>
      <w:r>
        <w:rPr>
          <w:szCs w:val="28"/>
        </w:rPr>
        <w:t xml:space="preserve"> </w:t>
      </w:r>
    </w:p>
    <w:p>
      <w:pPr>
        <w:pStyle w:val="BodyText"/>
        <w:rPr>
          <w:szCs w:val="28"/>
        </w:rPr>
      </w:pPr>
      <w:r>
        <w:rPr>
          <w:szCs w:val="28"/>
        </w:rPr>
        <w:tab/>
        <w:t xml:space="preserve">Собственные доходы консолидированного бюджета муниципального образования на январь-март 201</w:t>
      </w:r>
      <w:r>
        <w:rPr>
          <w:szCs w:val="28"/>
        </w:rPr>
        <w:t xml:space="preserve">9</w:t>
      </w:r>
      <w:r>
        <w:rPr>
          <w:szCs w:val="28"/>
        </w:rPr>
        <w:t xml:space="preserve"> года утверждены в сумме 1</w:t>
      </w:r>
      <w:r>
        <w:rPr>
          <w:szCs w:val="28"/>
        </w:rPr>
        <w:t xml:space="preserve">4363,0</w:t>
      </w:r>
      <w:r>
        <w:rPr>
          <w:szCs w:val="28"/>
        </w:rPr>
        <w:t xml:space="preserve"> тыс. руб. фактически поступило доходов в виде налоговых и неналоговых платежей в сумме 1</w:t>
      </w:r>
      <w:r>
        <w:rPr>
          <w:szCs w:val="28"/>
        </w:rPr>
        <w:t xml:space="preserve">6077</w:t>
      </w:r>
      <w:r>
        <w:rPr>
          <w:szCs w:val="28"/>
        </w:rPr>
        <w:t xml:space="preserve">,2 тыс. руб., выполнение составило 1</w:t>
      </w:r>
      <w:r>
        <w:rPr>
          <w:szCs w:val="28"/>
        </w:rPr>
        <w:t xml:space="preserve">11</w:t>
      </w:r>
      <w:r>
        <w:rPr>
          <w:szCs w:val="28"/>
        </w:rPr>
        <w:t xml:space="preserve">,</w:t>
      </w:r>
      <w:r>
        <w:rPr>
          <w:szCs w:val="28"/>
        </w:rPr>
        <w:t xml:space="preserve">9</w:t>
      </w:r>
      <w:r>
        <w:rPr>
          <w:szCs w:val="28"/>
        </w:rPr>
        <w:t xml:space="preserve">%. Или годовой план выполнен на 2</w:t>
      </w:r>
      <w:r>
        <w:rPr>
          <w:szCs w:val="28"/>
        </w:rPr>
        <w:t xml:space="preserve">6</w:t>
      </w:r>
      <w:r>
        <w:rPr>
          <w:szCs w:val="28"/>
        </w:rPr>
        <w:t xml:space="preserve">,</w:t>
      </w:r>
      <w:r>
        <w:rPr>
          <w:szCs w:val="28"/>
        </w:rPr>
        <w:t xml:space="preserve">7</w:t>
      </w:r>
      <w:r>
        <w:rPr>
          <w:szCs w:val="28"/>
        </w:rPr>
        <w:t xml:space="preserve">%</w:t>
      </w:r>
      <w:r>
        <w:rPr>
          <w:szCs w:val="28"/>
        </w:rPr>
        <w:t xml:space="preserve">. </w:t>
      </w:r>
      <w:r>
        <w:rPr>
          <w:szCs w:val="28"/>
        </w:rPr>
        <w:t xml:space="preserve">К уровню аналогичного периода пошлого года наблюдается рост поступлений в консолидированный бюджет в сумме 1</w:t>
      </w:r>
      <w:r>
        <w:rPr>
          <w:szCs w:val="28"/>
        </w:rPr>
        <w:t xml:space="preserve">58</w:t>
      </w:r>
      <w:r>
        <w:rPr>
          <w:szCs w:val="28"/>
        </w:rPr>
        <w:t xml:space="preserve">,0 тыс. руб. (поступления за аналогичный период 201</w:t>
      </w:r>
      <w:r>
        <w:rPr>
          <w:szCs w:val="28"/>
        </w:rPr>
        <w:t xml:space="preserve">8</w:t>
      </w:r>
      <w:r>
        <w:rPr>
          <w:szCs w:val="28"/>
        </w:rPr>
        <w:t xml:space="preserve"> года составили 1</w:t>
      </w:r>
      <w:r>
        <w:rPr>
          <w:szCs w:val="28"/>
        </w:rPr>
        <w:t xml:space="preserve">5919</w:t>
      </w:r>
      <w:r>
        <w:rPr>
          <w:szCs w:val="28"/>
        </w:rPr>
        <w:t xml:space="preserve">,</w:t>
      </w:r>
      <w:r>
        <w:rPr>
          <w:szCs w:val="28"/>
        </w:rPr>
        <w:t xml:space="preserve">2</w:t>
      </w:r>
      <w:r>
        <w:rPr>
          <w:szCs w:val="28"/>
        </w:rPr>
        <w:t xml:space="preserve"> тыс. руб. меньше на 1</w:t>
      </w:r>
      <w:r>
        <w:rPr>
          <w:szCs w:val="28"/>
        </w:rPr>
        <w:t xml:space="preserve">58</w:t>
      </w:r>
      <w:r>
        <w:rPr>
          <w:szCs w:val="28"/>
        </w:rPr>
        <w:t xml:space="preserve">,0 тыс. руб.)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Плановые назначения по собственным доходам выполнены всеми </w:t>
      </w:r>
      <w:r>
        <w:rPr>
          <w:sz w:val="28"/>
          <w:szCs w:val="28"/>
        </w:rPr>
        <w:t xml:space="preserve">поселениями </w:t>
      </w:r>
      <w:r>
        <w:rPr>
          <w:sz w:val="28"/>
          <w:szCs w:val="28"/>
        </w:rPr>
        <w:t xml:space="preserve">муниципальн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образования.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 уровню 201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года: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«Вешкаймский район»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485,1 тыс. руб. или 95,4%;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Чуфаровское</w:t>
      </w:r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400,0</w:t>
      </w:r>
      <w:r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64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%;</w:t>
      </w: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Каргинское сельское поселение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30,7 тыс. руб. или 81,2%;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темасское сельское поселение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тыс. руб. или 9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7%.</w:t>
      </w: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структуре собственных доходов налоговые поступления составляют 7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%, неналоговые 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%. В январе-марте 201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года налоговые доходы поступили в сумме 1</w:t>
      </w:r>
      <w:r>
        <w:rPr>
          <w:sz w:val="28"/>
          <w:szCs w:val="28"/>
        </w:rPr>
        <w:t xml:space="preserve">2052,2</w:t>
      </w:r>
      <w:r>
        <w:rPr>
          <w:sz w:val="28"/>
          <w:szCs w:val="28"/>
        </w:rPr>
        <w:t xml:space="preserve"> тыс. руб. или план выполнен на 10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%, неналоговые доходы поступили в сумме 4</w:t>
      </w:r>
      <w:r>
        <w:rPr>
          <w:sz w:val="28"/>
          <w:szCs w:val="28"/>
        </w:rPr>
        <w:t xml:space="preserve">025,0</w:t>
      </w:r>
      <w:r>
        <w:rPr>
          <w:sz w:val="28"/>
          <w:szCs w:val="28"/>
        </w:rPr>
        <w:t xml:space="preserve"> тыс. руб. или выполнение составляет 1</w:t>
      </w: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%.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Доля поступлений в консолидированный бюджет МО «Вешкаймский район» в разрезе поселений составляет: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«Вешкаймский район»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- 6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% (10</w:t>
      </w:r>
      <w:r>
        <w:rPr>
          <w:sz w:val="28"/>
          <w:szCs w:val="28"/>
        </w:rPr>
        <w:t xml:space="preserve">089,8</w:t>
      </w:r>
      <w:r>
        <w:rPr>
          <w:sz w:val="28"/>
          <w:szCs w:val="28"/>
        </w:rPr>
        <w:t xml:space="preserve">,0 тыс. руб.);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Вешкаймское городское поселение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– 2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% (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37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тыс. руб.); </w:t>
      </w: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Чуфаровское городское поселение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% (</w:t>
      </w:r>
      <w:r>
        <w:rPr>
          <w:sz w:val="28"/>
          <w:szCs w:val="28"/>
        </w:rPr>
        <w:t xml:space="preserve">73</w:t>
      </w:r>
      <w:r>
        <w:rPr>
          <w:sz w:val="28"/>
          <w:szCs w:val="28"/>
        </w:rPr>
        <w:t xml:space="preserve">3,8 тыс. руб.);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Ермоловское сельское поселение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– 1,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% (</w:t>
      </w:r>
      <w:r>
        <w:rPr>
          <w:sz w:val="28"/>
          <w:szCs w:val="28"/>
        </w:rPr>
        <w:t xml:space="preserve">252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тыс. руб.);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Каргинское сельское поселение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% (13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тыс. руб.);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Бекетовское сельское поселение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0,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% (</w:t>
      </w:r>
      <w:r>
        <w:rPr>
          <w:sz w:val="28"/>
          <w:szCs w:val="28"/>
        </w:rPr>
        <w:t xml:space="preserve">96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тыс. руб.);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Стемасское сельское поселение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– 0,2% (3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тыс. руб.).</w:t>
      </w:r>
    </w:p>
    <w:p>
      <w:pPr>
        <w:pStyle w:val="BodyText"/>
        <w:rPr>
          <w:szCs w:val="28"/>
        </w:rPr>
      </w:pPr>
      <w:r>
        <w:rPr>
          <w:szCs w:val="28"/>
        </w:rPr>
        <w:tab/>
        <w:t xml:space="preserve">Лидирующее положение, как по удельному весу, так и по абсолютной сумме поступлений занимает налог на доходы физических лиц, он составляет 3</w:t>
      </w:r>
      <w:r>
        <w:rPr>
          <w:szCs w:val="28"/>
        </w:rPr>
        <w:t xml:space="preserve">3</w:t>
      </w:r>
      <w:r>
        <w:rPr>
          <w:szCs w:val="28"/>
        </w:rPr>
        <w:t xml:space="preserve">,</w:t>
      </w:r>
      <w:r>
        <w:rPr>
          <w:szCs w:val="28"/>
        </w:rPr>
        <w:t xml:space="preserve">8</w:t>
      </w:r>
      <w:r>
        <w:rPr>
          <w:szCs w:val="28"/>
        </w:rPr>
        <w:t xml:space="preserve">% от общей суммы поступлений. За 1 квартал 201</w:t>
      </w:r>
      <w:r>
        <w:rPr>
          <w:szCs w:val="28"/>
        </w:rPr>
        <w:t xml:space="preserve">9</w:t>
      </w:r>
      <w:r>
        <w:rPr>
          <w:szCs w:val="28"/>
        </w:rPr>
        <w:t xml:space="preserve"> года в консолидированный бюджет муниципального образования данный вид доходного источника поступил в сумме </w:t>
      </w:r>
      <w:r>
        <w:rPr>
          <w:szCs w:val="28"/>
        </w:rPr>
        <w:t xml:space="preserve">5427,0</w:t>
      </w:r>
      <w:r>
        <w:rPr>
          <w:szCs w:val="28"/>
        </w:rPr>
        <w:t xml:space="preserve"> тыс. руб. при плане </w:t>
      </w:r>
      <w:r>
        <w:rPr>
          <w:szCs w:val="28"/>
        </w:rPr>
        <w:t xml:space="preserve">4</w:t>
      </w:r>
      <w:r>
        <w:rPr>
          <w:szCs w:val="28"/>
        </w:rPr>
        <w:t xml:space="preserve">9</w:t>
      </w:r>
      <w:r>
        <w:rPr>
          <w:szCs w:val="28"/>
        </w:rPr>
        <w:t xml:space="preserve">99</w:t>
      </w:r>
      <w:r>
        <w:rPr>
          <w:szCs w:val="28"/>
        </w:rPr>
        <w:t xml:space="preserve">,1 тыс. руб. выполнение составило 10</w:t>
      </w:r>
      <w:r>
        <w:rPr>
          <w:szCs w:val="28"/>
        </w:rPr>
        <w:t xml:space="preserve">8</w:t>
      </w:r>
      <w:r>
        <w:rPr>
          <w:szCs w:val="28"/>
        </w:rPr>
        <w:t xml:space="preserve">,6%. (за аналогичный период 201</w:t>
      </w:r>
      <w:r>
        <w:rPr>
          <w:szCs w:val="28"/>
        </w:rPr>
        <w:t xml:space="preserve">8</w:t>
      </w:r>
      <w:r>
        <w:rPr>
          <w:szCs w:val="28"/>
        </w:rPr>
        <w:t xml:space="preserve"> года поступления составили </w:t>
      </w:r>
      <w:r>
        <w:rPr>
          <w:szCs w:val="28"/>
        </w:rPr>
        <w:t xml:space="preserve">6097,8</w:t>
      </w:r>
      <w:r>
        <w:rPr>
          <w:szCs w:val="28"/>
        </w:rPr>
        <w:t xml:space="preserve"> тыс. руб.)</w:t>
      </w:r>
      <w:r>
        <w:rPr>
          <w:szCs w:val="28"/>
        </w:rPr>
        <w:t xml:space="preserve">. Снижение объясняется поступлением в январе 2018 года оплаты от АО « ИКНЗР» в сумме 1690,0 тыс. руб.; в марте 2018 года кредиторской задолженности от ГУЗ «Вешкаймская РБ» за 2017 год в сумме 2822,4 тыс. руб.</w:t>
      </w:r>
      <w:r>
        <w:rPr>
          <w:szCs w:val="28"/>
        </w:rPr>
        <w:t xml:space="preserve"> </w:t>
      </w:r>
      <w:r>
        <w:rPr>
          <w:szCs w:val="28"/>
        </w:rPr>
        <w:t xml:space="preserve">(задолженность на 01.03.201</w:t>
      </w:r>
      <w:r>
        <w:rPr>
          <w:szCs w:val="28"/>
        </w:rPr>
        <w:t xml:space="preserve">9</w:t>
      </w:r>
      <w:r>
        <w:rPr>
          <w:szCs w:val="28"/>
        </w:rPr>
        <w:t xml:space="preserve"> года </w:t>
      </w:r>
      <w:r>
        <w:rPr>
          <w:szCs w:val="28"/>
        </w:rPr>
        <w:t xml:space="preserve">10636,0</w:t>
      </w:r>
      <w:r>
        <w:rPr>
          <w:szCs w:val="28"/>
        </w:rPr>
        <w:t xml:space="preserve"> тыс. руб.).</w:t>
      </w:r>
      <w:r>
        <w:rPr>
          <w:szCs w:val="28"/>
        </w:rPr>
        <w:t xml:space="preserve"> </w:t>
      </w:r>
      <w:r>
        <w:rPr>
          <w:szCs w:val="28"/>
        </w:rPr>
      </w:r>
    </w:p>
    <w:p>
      <w:pPr>
        <w:pStyle w:val="Normal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Удельный вес акцизов на нефтепродукты в структуре налоговых и неналоговых доходов консолидированного бюджета муниципального образования «Вешкаймский район» составляет 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%. За январь-март 201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года акцизы на нефтепродукты поступили в сумме 2</w:t>
      </w:r>
      <w:r>
        <w:rPr>
          <w:sz w:val="28"/>
          <w:szCs w:val="28"/>
        </w:rPr>
        <w:t xml:space="preserve">678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тыс. руб. при плане 2</w:t>
      </w:r>
      <w:r>
        <w:rPr>
          <w:sz w:val="28"/>
          <w:szCs w:val="28"/>
        </w:rPr>
        <w:t xml:space="preserve">613</w:t>
      </w:r>
      <w:r>
        <w:rPr>
          <w:sz w:val="28"/>
          <w:szCs w:val="28"/>
        </w:rPr>
        <w:t xml:space="preserve">,7 тыс. руб. или 10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%. К уровню аналогичного периода прошлого г</w:t>
      </w:r>
      <w:r>
        <w:rPr>
          <w:sz w:val="28"/>
          <w:szCs w:val="28"/>
        </w:rPr>
        <w:t xml:space="preserve">ода поступления увеличились на 500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тыс. руб. или 1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%.</w:t>
      </w:r>
    </w:p>
    <w:p>
      <w:pPr>
        <w:pStyle w:val="Normal"/>
        <w:jc w:val="both"/>
        <w:tabs>
          <w:tab w:val="left" w:pos="0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Налог, взимаемый в связи с применением упрощённой системы налогообложения за январь-март текущего года поступил в сумме </w:t>
      </w:r>
      <w:r>
        <w:rPr>
          <w:sz w:val="28"/>
          <w:szCs w:val="28"/>
        </w:rPr>
        <w:t xml:space="preserve">876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тыс. руб., при плане </w:t>
      </w:r>
      <w:r>
        <w:rPr>
          <w:sz w:val="28"/>
          <w:szCs w:val="28"/>
        </w:rPr>
        <w:t xml:space="preserve">748</w:t>
      </w:r>
      <w:r>
        <w:rPr>
          <w:sz w:val="28"/>
          <w:szCs w:val="28"/>
        </w:rPr>
        <w:t xml:space="preserve">,0 тыс. руб., или 11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%. Рост к уровню аналогичного периода прошлого года составил </w:t>
      </w:r>
      <w:r>
        <w:rPr>
          <w:sz w:val="28"/>
          <w:szCs w:val="28"/>
        </w:rPr>
        <w:t xml:space="preserve">499,8</w:t>
      </w:r>
      <w:r>
        <w:rPr>
          <w:sz w:val="28"/>
          <w:szCs w:val="28"/>
        </w:rPr>
        <w:t xml:space="preserve"> тыс. руб. или 2</w:t>
      </w:r>
      <w:r>
        <w:rPr>
          <w:sz w:val="28"/>
          <w:szCs w:val="28"/>
        </w:rPr>
        <w:t xml:space="preserve">32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%</w:t>
      </w:r>
      <w:r>
        <w:rPr>
          <w:sz w:val="28"/>
          <w:szCs w:val="28"/>
        </w:rPr>
        <w:t xml:space="preserve">, увеличение объясняется поступлением оплаты от ИП Бикмурзина М.С., ИП Вашурина А.М., СПК «Перспектива»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Normal"/>
        <w:ind w:right="-8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Единый налог на вмененный доход, на долю которого приходится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,2% общего объема, при плане </w:t>
      </w:r>
      <w:r>
        <w:rPr>
          <w:sz w:val="28"/>
          <w:szCs w:val="28"/>
        </w:rPr>
        <w:t xml:space="preserve">812,0</w:t>
      </w:r>
      <w:r>
        <w:rPr>
          <w:sz w:val="28"/>
          <w:szCs w:val="28"/>
        </w:rPr>
        <w:t xml:space="preserve"> тыс. руб. фактически за 1 квартал 201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года в бюджет поступило </w:t>
      </w:r>
      <w:r>
        <w:rPr>
          <w:sz w:val="28"/>
          <w:szCs w:val="28"/>
        </w:rPr>
        <w:t xml:space="preserve">832,2</w:t>
      </w:r>
      <w:r>
        <w:rPr>
          <w:sz w:val="28"/>
          <w:szCs w:val="28"/>
        </w:rPr>
        <w:t xml:space="preserve"> тыс. руб. или выполнение составило 10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%.</w:t>
      </w:r>
      <w:r>
        <w:rPr>
          <w:sz w:val="28"/>
          <w:szCs w:val="28"/>
        </w:rPr>
        <w:t xml:space="preserve"> К уровню аналогичного периода прошлого года поступления уменьшились на 315,3 тыс. руб. или 72,5%. Снижение объясняется налоговым вычетом на приобретение ККТ, уменьшающим сумму налога подлежащего уплате в бюджет.</w:t>
      </w:r>
      <w:r>
        <w:rPr>
          <w:sz w:val="28"/>
          <w:szCs w:val="28"/>
        </w:rPr>
      </w:r>
    </w:p>
    <w:p>
      <w:pPr>
        <w:pStyle w:val="BodyText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Налог, взимаемый в связи с применением патентной системы налогообложения, поступил в сумме 21</w:t>
      </w:r>
      <w:r>
        <w:rPr>
          <w:szCs w:val="28"/>
        </w:rPr>
        <w:t xml:space="preserve">2</w:t>
      </w:r>
      <w:r>
        <w:rPr>
          <w:szCs w:val="28"/>
        </w:rPr>
        <w:t xml:space="preserve">,</w:t>
      </w:r>
      <w:r>
        <w:rPr>
          <w:szCs w:val="28"/>
        </w:rPr>
        <w:t xml:space="preserve">5</w:t>
      </w:r>
      <w:r>
        <w:rPr>
          <w:szCs w:val="28"/>
        </w:rPr>
        <w:t xml:space="preserve"> тыс. руб. при плане 1</w:t>
      </w:r>
      <w:r>
        <w:rPr>
          <w:szCs w:val="28"/>
        </w:rPr>
        <w:t xml:space="preserve">85</w:t>
      </w:r>
      <w:r>
        <w:rPr>
          <w:szCs w:val="28"/>
        </w:rPr>
        <w:t xml:space="preserve">,</w:t>
      </w:r>
      <w:r>
        <w:rPr>
          <w:szCs w:val="28"/>
        </w:rPr>
        <w:t xml:space="preserve">5</w:t>
      </w:r>
      <w:r>
        <w:rPr>
          <w:szCs w:val="28"/>
        </w:rPr>
        <w:t xml:space="preserve"> тыс. руб. или 11</w:t>
      </w:r>
      <w:r>
        <w:rPr>
          <w:szCs w:val="28"/>
        </w:rPr>
        <w:t xml:space="preserve">4</w:t>
      </w:r>
      <w:r>
        <w:rPr>
          <w:szCs w:val="28"/>
        </w:rPr>
        <w:t xml:space="preserve">,</w:t>
      </w:r>
      <w:r>
        <w:rPr>
          <w:szCs w:val="28"/>
        </w:rPr>
        <w:t xml:space="preserve">6</w:t>
      </w:r>
      <w:r>
        <w:rPr>
          <w:szCs w:val="28"/>
        </w:rPr>
        <w:t xml:space="preserve">%. К уровню аналогичного периода прошлого года поступления у</w:t>
      </w:r>
      <w:r>
        <w:rPr>
          <w:szCs w:val="28"/>
        </w:rPr>
        <w:t xml:space="preserve">меньшились</w:t>
      </w:r>
      <w:r>
        <w:rPr>
          <w:szCs w:val="28"/>
        </w:rPr>
        <w:t xml:space="preserve"> на </w:t>
      </w:r>
      <w:r>
        <w:rPr>
          <w:szCs w:val="28"/>
        </w:rPr>
        <w:t xml:space="preserve">5</w:t>
      </w:r>
      <w:r>
        <w:rPr>
          <w:szCs w:val="28"/>
        </w:rPr>
        <w:t xml:space="preserve">,</w:t>
      </w:r>
      <w:r>
        <w:rPr>
          <w:szCs w:val="28"/>
        </w:rPr>
        <w:t xml:space="preserve">8</w:t>
      </w:r>
      <w:r>
        <w:rPr>
          <w:szCs w:val="28"/>
        </w:rPr>
        <w:t xml:space="preserve"> тыс. руб. или 9</w:t>
      </w:r>
      <w:r>
        <w:rPr>
          <w:szCs w:val="28"/>
        </w:rPr>
        <w:t xml:space="preserve">7</w:t>
      </w:r>
      <w:r>
        <w:rPr>
          <w:szCs w:val="28"/>
        </w:rPr>
        <w:t xml:space="preserve">,</w:t>
      </w:r>
      <w:r>
        <w:rPr>
          <w:szCs w:val="28"/>
        </w:rPr>
        <w:t xml:space="preserve">3</w:t>
      </w:r>
      <w:r>
        <w:rPr>
          <w:szCs w:val="28"/>
        </w:rPr>
        <w:t xml:space="preserve">%.</w:t>
      </w:r>
    </w:p>
    <w:p>
      <w:pPr>
        <w:pStyle w:val="Normal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Единый сельскохозяйственный налог поступил в сумме </w:t>
      </w:r>
      <w:r>
        <w:rPr>
          <w:sz w:val="28"/>
          <w:szCs w:val="28"/>
        </w:rPr>
        <w:t xml:space="preserve">365,7</w:t>
      </w:r>
      <w:r>
        <w:rPr>
          <w:sz w:val="28"/>
          <w:szCs w:val="28"/>
        </w:rPr>
        <w:t xml:space="preserve"> тыс. руб. при плане </w:t>
      </w:r>
      <w:r>
        <w:rPr>
          <w:sz w:val="28"/>
          <w:szCs w:val="28"/>
        </w:rPr>
        <w:t xml:space="preserve">200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или 182,4%. К уровню аналогичного периода прошлого года поступления увеличились на 327,9 тыс. руб. Рост объясняется поступлением в марте 2019 года оплаты налога от СПК (колхоза) им. Калинина (Ермоловское с/п).</w:t>
      </w:r>
    </w:p>
    <w:p>
      <w:pPr>
        <w:pStyle w:val="BodyText"/>
        <w:rPr>
          <w:szCs w:val="28"/>
        </w:rPr>
      </w:pPr>
      <w:r>
        <w:rPr>
          <w:szCs w:val="28"/>
        </w:rPr>
        <w:tab/>
        <w:t xml:space="preserve">Доля налога на имущество в общем объёме собственных доходов составляет 0,</w:t>
      </w:r>
      <w:r>
        <w:rPr>
          <w:szCs w:val="28"/>
        </w:rPr>
        <w:t xml:space="preserve">7</w:t>
      </w:r>
      <w:r>
        <w:rPr>
          <w:szCs w:val="28"/>
        </w:rPr>
        <w:t xml:space="preserve">%. За текущий период 201</w:t>
      </w:r>
      <w:r>
        <w:rPr>
          <w:szCs w:val="28"/>
        </w:rPr>
        <w:t xml:space="preserve">9</w:t>
      </w:r>
      <w:r>
        <w:rPr>
          <w:szCs w:val="28"/>
        </w:rPr>
        <w:t xml:space="preserve"> года налог на имущество физических лиц поступил в сумме </w:t>
      </w:r>
      <w:r>
        <w:rPr>
          <w:szCs w:val="28"/>
        </w:rPr>
        <w:t xml:space="preserve">10</w:t>
      </w:r>
      <w:r>
        <w:rPr>
          <w:szCs w:val="28"/>
        </w:rPr>
        <w:t xml:space="preserve">9,</w:t>
      </w:r>
      <w:r>
        <w:rPr>
          <w:szCs w:val="28"/>
        </w:rPr>
        <w:t xml:space="preserve">9</w:t>
      </w:r>
      <w:r>
        <w:rPr>
          <w:szCs w:val="28"/>
        </w:rPr>
        <w:t xml:space="preserve"> тыс. руб., при плане </w:t>
      </w:r>
      <w:r>
        <w:rPr>
          <w:szCs w:val="28"/>
        </w:rPr>
        <w:t xml:space="preserve">109,9</w:t>
      </w:r>
      <w:r>
        <w:rPr>
          <w:szCs w:val="28"/>
        </w:rPr>
        <w:t xml:space="preserve"> тыс. руб. или выполнение составило 10</w:t>
      </w:r>
      <w:r>
        <w:rPr>
          <w:szCs w:val="28"/>
        </w:rPr>
        <w:t xml:space="preserve">0</w:t>
      </w:r>
      <w:r>
        <w:rPr>
          <w:szCs w:val="28"/>
        </w:rPr>
        <w:t xml:space="preserve">,0%. К уровню аналогичного периода прошлого года наблюдается увеличение поступлений по данному доходному источнику на </w:t>
      </w:r>
      <w:r>
        <w:rPr>
          <w:szCs w:val="28"/>
        </w:rPr>
        <w:t xml:space="preserve">3</w:t>
      </w:r>
      <w:r>
        <w:rPr>
          <w:szCs w:val="28"/>
        </w:rPr>
        <w:t xml:space="preserve">0,</w:t>
      </w:r>
      <w:r>
        <w:rPr>
          <w:szCs w:val="28"/>
        </w:rPr>
        <w:t xml:space="preserve">5</w:t>
      </w:r>
      <w:r>
        <w:rPr>
          <w:szCs w:val="28"/>
        </w:rPr>
        <w:t xml:space="preserve"> тыс. руб. </w:t>
      </w:r>
      <w:r>
        <w:rPr>
          <w:szCs w:val="28"/>
        </w:rPr>
        <w:t xml:space="preserve">или 138,4%.</w:t>
      </w:r>
      <w:r>
        <w:rPr>
          <w:szCs w:val="28"/>
        </w:rPr>
        <w:t xml:space="preserve"> </w:t>
      </w:r>
    </w:p>
    <w:p>
      <w:pPr>
        <w:pStyle w:val="BodyText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Удельный вес</w:t>
      </w:r>
      <w:r>
        <w:rPr>
          <w:b/>
          <w:szCs w:val="28"/>
        </w:rPr>
        <w:t xml:space="preserve"> </w:t>
      </w:r>
      <w:r>
        <w:rPr>
          <w:szCs w:val="28"/>
        </w:rPr>
        <w:t xml:space="preserve">земельного налога в структуре собственных доходов консолидированного бюджета составляет </w:t>
      </w:r>
      <w:r>
        <w:rPr>
          <w:szCs w:val="28"/>
        </w:rPr>
        <w:t xml:space="preserve">7</w:t>
      </w:r>
      <w:r>
        <w:rPr>
          <w:szCs w:val="28"/>
        </w:rPr>
        <w:t xml:space="preserve">,</w:t>
      </w:r>
      <w:r>
        <w:rPr>
          <w:szCs w:val="28"/>
        </w:rPr>
        <w:t xml:space="preserve">7</w:t>
      </w:r>
      <w:r>
        <w:rPr>
          <w:szCs w:val="28"/>
        </w:rPr>
        <w:t xml:space="preserve">%. Всего за 1 квартал 201</w:t>
      </w:r>
      <w:r>
        <w:rPr>
          <w:szCs w:val="28"/>
        </w:rPr>
        <w:t xml:space="preserve">9</w:t>
      </w:r>
      <w:r>
        <w:rPr>
          <w:szCs w:val="28"/>
        </w:rPr>
        <w:t xml:space="preserve"> года данный налог поступил в сумме </w:t>
      </w:r>
      <w:r>
        <w:rPr>
          <w:szCs w:val="28"/>
        </w:rPr>
        <w:t xml:space="preserve">1232,7</w:t>
      </w:r>
      <w:r>
        <w:rPr>
          <w:szCs w:val="28"/>
        </w:rPr>
        <w:t xml:space="preserve"> тыс. руб. при плане </w:t>
      </w:r>
      <w:r>
        <w:rPr>
          <w:szCs w:val="28"/>
        </w:rPr>
        <w:t xml:space="preserve">1200,8</w:t>
      </w:r>
      <w:r>
        <w:rPr>
          <w:szCs w:val="28"/>
        </w:rPr>
        <w:t xml:space="preserve"> тыс. руб. или 10</w:t>
      </w:r>
      <w:r>
        <w:rPr>
          <w:szCs w:val="28"/>
        </w:rPr>
        <w:t xml:space="preserve">2</w:t>
      </w:r>
      <w:r>
        <w:rPr>
          <w:szCs w:val="28"/>
        </w:rPr>
        <w:t xml:space="preserve">,</w:t>
      </w:r>
      <w:r>
        <w:rPr>
          <w:szCs w:val="28"/>
        </w:rPr>
        <w:t xml:space="preserve">7</w:t>
      </w:r>
      <w:r>
        <w:rPr>
          <w:szCs w:val="28"/>
        </w:rPr>
        <w:t xml:space="preserve">%. К уровню аналогичного периода прошлого года поступления у</w:t>
      </w:r>
      <w:r>
        <w:rPr>
          <w:szCs w:val="28"/>
        </w:rPr>
        <w:t xml:space="preserve">величились</w:t>
      </w:r>
      <w:r>
        <w:rPr>
          <w:szCs w:val="28"/>
        </w:rPr>
        <w:t xml:space="preserve"> на </w:t>
      </w:r>
      <w:r>
        <w:rPr>
          <w:szCs w:val="28"/>
        </w:rPr>
        <w:t xml:space="preserve">422</w:t>
      </w:r>
      <w:r>
        <w:rPr>
          <w:szCs w:val="28"/>
        </w:rPr>
        <w:t xml:space="preserve">,</w:t>
      </w:r>
      <w:r>
        <w:rPr>
          <w:szCs w:val="28"/>
        </w:rPr>
        <w:t xml:space="preserve">1</w:t>
      </w:r>
      <w:r>
        <w:rPr>
          <w:szCs w:val="28"/>
        </w:rPr>
        <w:t xml:space="preserve"> тыс. руб. или </w:t>
      </w:r>
      <w:r>
        <w:rPr>
          <w:szCs w:val="28"/>
        </w:rPr>
        <w:t xml:space="preserve">152</w:t>
      </w:r>
      <w:r>
        <w:rPr>
          <w:szCs w:val="28"/>
        </w:rPr>
        <w:t xml:space="preserve">,</w:t>
      </w:r>
      <w:r>
        <w:rPr>
          <w:szCs w:val="28"/>
        </w:rPr>
        <w:t xml:space="preserve">1</w:t>
      </w:r>
      <w:r>
        <w:rPr>
          <w:szCs w:val="28"/>
        </w:rPr>
        <w:t xml:space="preserve">%. </w:t>
      </w:r>
      <w:r>
        <w:rPr>
          <w:szCs w:val="28"/>
        </w:rPr>
        <w:t xml:space="preserve">Рост объясняется поступлением недоимки за 2018 год от ГУЗ «Вешкаймская РБ», ООО «Красноборское», ООО «Зенит» и оплаты задолженности налога согласно розданным уведомлениям</w:t>
      </w:r>
      <w:r>
        <w:rPr>
          <w:szCs w:val="28"/>
        </w:rPr>
        <w:t xml:space="preserve"> </w:t>
      </w:r>
      <w:r>
        <w:rPr>
          <w:szCs w:val="28"/>
        </w:rPr>
      </w:r>
    </w:p>
    <w:p>
      <w:pPr>
        <w:pStyle w:val="Normal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Доля государственной пошлины в общем объёме собственных доходов составляет 2</w:t>
      </w:r>
      <w:r>
        <w:rPr>
          <w:sz w:val="28"/>
          <w:szCs w:val="28"/>
        </w:rPr>
        <w:t xml:space="preserve">,0</w:t>
      </w:r>
      <w:r>
        <w:rPr>
          <w:sz w:val="28"/>
          <w:szCs w:val="28"/>
        </w:rPr>
        <w:t xml:space="preserve">%. Всего за 201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год госпошлина поступила в сумме </w:t>
      </w:r>
      <w:r>
        <w:rPr>
          <w:sz w:val="28"/>
          <w:szCs w:val="28"/>
        </w:rPr>
        <w:t xml:space="preserve">317,8</w:t>
      </w:r>
      <w:r>
        <w:rPr>
          <w:sz w:val="28"/>
          <w:szCs w:val="28"/>
        </w:rPr>
        <w:t xml:space="preserve"> тыс. руб. при плане 30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,0 тыс. руб. или 105,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%. К уровню аналогичного периода прошлого года поступления у</w:t>
      </w:r>
      <w:r>
        <w:rPr>
          <w:sz w:val="28"/>
          <w:szCs w:val="28"/>
        </w:rPr>
        <w:t xml:space="preserve">меньшились на 84,8</w:t>
      </w:r>
      <w:r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 или 78,9%</w:t>
      </w:r>
      <w:r>
        <w:rPr>
          <w:sz w:val="28"/>
          <w:szCs w:val="28"/>
        </w:rPr>
        <w:t xml:space="preserve">. 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Арендная плата за земельные участки поступила в сумме 12</w:t>
      </w:r>
      <w:r>
        <w:rPr>
          <w:sz w:val="28"/>
          <w:szCs w:val="28"/>
        </w:rPr>
        <w:t xml:space="preserve">01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тыс. руб. при плане </w:t>
      </w:r>
      <w:r>
        <w:rPr>
          <w:sz w:val="28"/>
          <w:szCs w:val="28"/>
        </w:rPr>
        <w:t xml:space="preserve">921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тыс. руб. или 1</w:t>
      </w:r>
      <w:r>
        <w:rPr>
          <w:sz w:val="28"/>
          <w:szCs w:val="28"/>
        </w:rPr>
        <w:t xml:space="preserve">30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%. В структуре собственных доходов доля данного </w:t>
      </w:r>
      <w:r>
        <w:rPr>
          <w:sz w:val="28"/>
          <w:szCs w:val="28"/>
        </w:rPr>
        <w:t xml:space="preserve">доходного источника составляет 7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%. К уровню аналогичного периода прошлого года поступления у</w:t>
      </w:r>
      <w:r>
        <w:rPr>
          <w:sz w:val="28"/>
          <w:szCs w:val="28"/>
        </w:rPr>
        <w:t xml:space="preserve">меньшились</w:t>
      </w:r>
      <w:r>
        <w:rPr>
          <w:sz w:val="28"/>
          <w:szCs w:val="28"/>
        </w:rPr>
        <w:t xml:space="preserve"> на 7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94,1%</w:t>
      </w:r>
      <w:r>
        <w:rPr>
          <w:sz w:val="28"/>
          <w:szCs w:val="28"/>
        </w:rPr>
        <w:t xml:space="preserve">. У</w:t>
      </w:r>
      <w:r>
        <w:rPr>
          <w:sz w:val="28"/>
          <w:szCs w:val="28"/>
        </w:rPr>
        <w:t xml:space="preserve">меньшение</w:t>
      </w:r>
      <w:r>
        <w:rPr>
          <w:sz w:val="28"/>
          <w:szCs w:val="28"/>
        </w:rPr>
        <w:t xml:space="preserve"> поступлений объясняется тем, что </w:t>
      </w:r>
      <w:r>
        <w:rPr>
          <w:sz w:val="28"/>
          <w:szCs w:val="28"/>
        </w:rPr>
        <w:t xml:space="preserve">в январе-марте 2018 года поступала задолженность по ООО «Чуфаровский хлебопродукт» в сумме 990,4 тыс. руб. </w:t>
      </w: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долю доходов от использования имущества, находящегося в государственной и муниципальной собственности в общем объёме налоговых и неналоговых доходов приходится 2,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%. Доходы от сдачи в аренду имущества поступили в сумме 3</w:t>
      </w:r>
      <w:r>
        <w:rPr>
          <w:sz w:val="28"/>
          <w:szCs w:val="28"/>
        </w:rPr>
        <w:t xml:space="preserve">85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тыс. руб. при плане 3</w:t>
      </w:r>
      <w:r>
        <w:rPr>
          <w:sz w:val="28"/>
          <w:szCs w:val="28"/>
        </w:rPr>
        <w:t xml:space="preserve">69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 тыс. руб. или 104,5</w:t>
      </w:r>
      <w:r>
        <w:rPr>
          <w:sz w:val="28"/>
          <w:szCs w:val="28"/>
        </w:rPr>
        <w:t xml:space="preserve">%. К уровню аналогичного периода прошлого года поступления увеличились на </w:t>
      </w:r>
      <w:r>
        <w:rPr>
          <w:sz w:val="28"/>
          <w:szCs w:val="28"/>
        </w:rPr>
        <w:t xml:space="preserve">36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тыс. руб. или 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0,</w:t>
      </w:r>
      <w:r>
        <w:rPr>
          <w:sz w:val="28"/>
          <w:szCs w:val="28"/>
        </w:rPr>
        <w:t xml:space="preserve">4%.</w:t>
      </w: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Штрафы поступили в сумме </w:t>
      </w:r>
      <w:r>
        <w:rPr>
          <w:sz w:val="28"/>
          <w:szCs w:val="28"/>
        </w:rPr>
        <w:t xml:space="preserve">31,1</w:t>
      </w:r>
      <w:r>
        <w:rPr>
          <w:sz w:val="28"/>
          <w:szCs w:val="28"/>
        </w:rPr>
        <w:t xml:space="preserve"> тыс. руб. при плане 3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,0 тыс. руб. или 10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%. К уровню аналогичного периода прошлого года поступления у</w:t>
      </w:r>
      <w:r>
        <w:rPr>
          <w:sz w:val="28"/>
          <w:szCs w:val="28"/>
        </w:rPr>
        <w:t xml:space="preserve">меньшились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117,7</w:t>
      </w:r>
      <w:r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или 20,9%. В феврале-марте 2018 года поступали штрафы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 январь-март 201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года плата за негативное воздействие поступила в сумме </w:t>
      </w:r>
      <w:r>
        <w:rPr>
          <w:sz w:val="28"/>
          <w:szCs w:val="28"/>
        </w:rPr>
        <w:t xml:space="preserve">45,0</w:t>
      </w:r>
      <w:r>
        <w:rPr>
          <w:sz w:val="28"/>
          <w:szCs w:val="28"/>
        </w:rPr>
        <w:t xml:space="preserve"> тыс. руб. при плане </w:t>
      </w:r>
      <w:r>
        <w:rPr>
          <w:sz w:val="28"/>
          <w:szCs w:val="28"/>
        </w:rPr>
        <w:t xml:space="preserve">44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тыс. руб. или 10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%. К уровню аналогичного периода прошлого года поступления у</w:t>
      </w:r>
      <w:r>
        <w:rPr>
          <w:sz w:val="28"/>
          <w:szCs w:val="28"/>
        </w:rPr>
        <w:t xml:space="preserve">меньшились</w:t>
      </w:r>
      <w:r>
        <w:rPr>
          <w:sz w:val="28"/>
          <w:szCs w:val="28"/>
        </w:rPr>
        <w:t xml:space="preserve"> на 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72,1%.</w:t>
      </w: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Доходы от реализации имущества поступили в сумме 80,4 тыс. руб. при плане 58,4 тыс. руб. или 137,7%. К уровню аналогичного периода прошлого года поступления увеличились на 76,1 тыс. руб. или в 2 раза. Рост объясняется продажей трансформаторной подстанции с опорами электрических сетей и кабелем (с. Вешкайма), утилизацией автобуса ПАЗ-3206-110-70.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Доходы от продажи земельных участков поступили в сумме </w:t>
      </w:r>
      <w:r>
        <w:rPr>
          <w:sz w:val="28"/>
          <w:szCs w:val="28"/>
        </w:rPr>
        <w:t xml:space="preserve">198,9</w:t>
      </w:r>
      <w:r>
        <w:rPr>
          <w:sz w:val="28"/>
          <w:szCs w:val="28"/>
        </w:rPr>
        <w:t xml:space="preserve"> тыс. руб. при плане </w:t>
      </w:r>
      <w:r>
        <w:rPr>
          <w:sz w:val="28"/>
          <w:szCs w:val="28"/>
        </w:rPr>
        <w:t xml:space="preserve">99,6</w:t>
      </w:r>
      <w:r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в 2 раза</w:t>
      </w:r>
      <w:r>
        <w:rPr>
          <w:sz w:val="28"/>
          <w:szCs w:val="28"/>
        </w:rPr>
        <w:t xml:space="preserve">. К уровню аналогичного периода прошлого года поступления у</w:t>
      </w:r>
      <w:r>
        <w:rPr>
          <w:sz w:val="28"/>
          <w:szCs w:val="28"/>
        </w:rPr>
        <w:t xml:space="preserve">величились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142,6</w:t>
      </w:r>
      <w:r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или в 3,5 раза. Поступили средства от продажи земельных участков Паргунькину О.Н., Биналиеву Р.Р., Музаффарову Р.Р., Халиковой М.К., Тарасову А.В., Музаффарову А.А.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неналоговые доходы поступили в сумме 163,0 тыс. руб. Поступили пени от ИП Пыркина Ю.А., за нарушение обязательств по контракту №7 от 26.07.2018 на благоустройство народного парка (Вешкаймское г/п). 151,0 тыс. руб.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долю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доходов от оказания платных услуг и компенсации затрат государства в структуре налоговых и неналоговых доходов консолидированного бюджета приходится 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%. За отчётный период данный вид доходного источника поступил в сумме </w:t>
      </w:r>
      <w:r>
        <w:rPr>
          <w:sz w:val="28"/>
          <w:szCs w:val="28"/>
        </w:rPr>
        <w:t xml:space="preserve">1919,7</w:t>
      </w:r>
      <w:r>
        <w:rPr>
          <w:sz w:val="28"/>
          <w:szCs w:val="28"/>
        </w:rPr>
        <w:t xml:space="preserve"> тыс. руб. при плане </w:t>
      </w:r>
      <w:r>
        <w:rPr>
          <w:sz w:val="28"/>
          <w:szCs w:val="28"/>
        </w:rPr>
        <w:t xml:space="preserve">1668,3</w:t>
      </w:r>
      <w:r>
        <w:rPr>
          <w:sz w:val="28"/>
          <w:szCs w:val="28"/>
        </w:rPr>
        <w:t xml:space="preserve"> тыс. руб. или 1</w:t>
      </w: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,1</w:t>
      </w:r>
      <w:r>
        <w:rPr>
          <w:sz w:val="28"/>
          <w:szCs w:val="28"/>
        </w:rPr>
        <w:t xml:space="preserve">%. К уровню аналогичного периода прошлого года поступления уменьшились на 753,3 тыс. руб. или 71,8%. Снижение объясняется изменением организационно-правовой формы учреждений образования (с казенных на бюджетные).</w:t>
      </w:r>
    </w:p>
    <w:p>
      <w:pPr>
        <w:pStyle w:val="BodyText"/>
        <w:rPr>
          <w:szCs w:val="28"/>
        </w:rPr>
      </w:pPr>
      <w:r>
        <w:rPr>
          <w:szCs w:val="28"/>
        </w:rPr>
        <w:tab/>
        <w:t xml:space="preserve">С целью увеличения поступлений доходов и сокращения недоимки по налоговым и неналоговым платежам в консолидированный бюджет муниципального образования «Вешкаймский район» проводятся заседания межведомственной комиссия муниципального образования по увеличению поступлений доходов в консолидированный бюджет и укреплению дисциплины труда. Всего за 201</w:t>
      </w:r>
      <w:r>
        <w:rPr>
          <w:szCs w:val="28"/>
        </w:rPr>
        <w:t xml:space="preserve">9</w:t>
      </w:r>
      <w:r>
        <w:rPr>
          <w:szCs w:val="28"/>
        </w:rPr>
        <w:t xml:space="preserve"> год проведено </w:t>
      </w:r>
      <w:r>
        <w:rPr>
          <w:szCs w:val="28"/>
        </w:rPr>
        <w:t xml:space="preserve">10</w:t>
      </w:r>
      <w:r>
        <w:rPr>
          <w:szCs w:val="28"/>
        </w:rPr>
        <w:t xml:space="preserve"> заседаний комиссии, было заслушано </w:t>
      </w:r>
      <w:r>
        <w:rPr>
          <w:szCs w:val="28"/>
        </w:rPr>
        <w:t xml:space="preserve">76</w:t>
      </w:r>
      <w:r>
        <w:rPr>
          <w:szCs w:val="28"/>
        </w:rPr>
        <w:t xml:space="preserve"> руководителей предприятий, организаций, индивидуальных предпринимателей и физических лиц, имеющих задолженность по налоговым и неналоговым платежам. В результате проведенной работы погашена задолженность в сумме </w:t>
      </w:r>
      <w:r>
        <w:rPr>
          <w:szCs w:val="28"/>
        </w:rPr>
        <w:t xml:space="preserve">6847,6</w:t>
      </w:r>
      <w:r>
        <w:rPr>
          <w:szCs w:val="28"/>
        </w:rPr>
        <w:t xml:space="preserve"> тыс. руб.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Кроме того, безвозмездные перечисления в </w:t>
      </w:r>
      <w:r>
        <w:rPr>
          <w:szCs w:val="28"/>
        </w:rPr>
        <w:t xml:space="preserve">1 квартале </w:t>
      </w:r>
      <w:r>
        <w:rPr>
          <w:szCs w:val="28"/>
        </w:rPr>
        <w:t xml:space="preserve">201</w:t>
      </w:r>
      <w:r>
        <w:rPr>
          <w:szCs w:val="28"/>
        </w:rPr>
        <w:t xml:space="preserve">9</w:t>
      </w:r>
      <w:r>
        <w:rPr>
          <w:szCs w:val="28"/>
        </w:rPr>
        <w:t xml:space="preserve"> год</w:t>
      </w:r>
      <w:r>
        <w:rPr>
          <w:szCs w:val="28"/>
        </w:rPr>
        <w:t xml:space="preserve">а</w:t>
      </w:r>
      <w:r>
        <w:rPr>
          <w:szCs w:val="28"/>
        </w:rPr>
        <w:t xml:space="preserve"> бюджету муниципального образования «Вешкаймский район» составили </w:t>
      </w:r>
      <w:r>
        <w:rPr>
          <w:szCs w:val="28"/>
        </w:rPr>
        <w:t xml:space="preserve">78 013,1</w:t>
      </w:r>
      <w:r>
        <w:rPr>
          <w:szCs w:val="28"/>
        </w:rPr>
        <w:t xml:space="preserve"> </w:t>
      </w:r>
      <w:r>
        <w:rPr>
          <w:szCs w:val="28"/>
        </w:rPr>
        <w:t xml:space="preserve">тыс. руб.: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- дотации на выравнивание бюджетной обеспеченности муниципальных районов – </w:t>
      </w:r>
      <w:r>
        <w:rPr>
          <w:szCs w:val="28"/>
        </w:rPr>
        <w:t xml:space="preserve">2</w:t>
      </w:r>
      <w:r>
        <w:rPr>
          <w:szCs w:val="28"/>
        </w:rPr>
        <w:t xml:space="preserve">2 079,0</w:t>
      </w:r>
      <w:r>
        <w:rPr>
          <w:szCs w:val="28"/>
        </w:rPr>
        <w:t xml:space="preserve"> тыс. руб.;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- субсидии бюджетам бюджетной системы Российской Федерации – </w:t>
      </w:r>
      <w:r>
        <w:rPr>
          <w:szCs w:val="28"/>
        </w:rPr>
        <w:t xml:space="preserve">2 491,1</w:t>
      </w:r>
      <w:r>
        <w:rPr>
          <w:szCs w:val="28"/>
        </w:rPr>
        <w:t xml:space="preserve"> тыс. руб.;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бюджетам субъектов Российской Федерации и муниципальных образований –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4 078,1</w:t>
      </w:r>
      <w:r>
        <w:rPr>
          <w:sz w:val="28"/>
          <w:szCs w:val="28"/>
        </w:rPr>
        <w:t xml:space="preserve"> тыс. руб.;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иные межбюджетные трансферты – 9491,0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ыс. руб</w:t>
      </w:r>
      <w:r>
        <w:rPr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общая сумма доходов консолидированного бюджета муниципального образования «Вешкаймский район» за </w:t>
      </w:r>
      <w:r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 xml:space="preserve">201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 xml:space="preserve">94 090,3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</w:t>
      </w:r>
    </w:p>
    <w:p>
      <w:pPr>
        <w:pStyle w:val="BodyText"/>
        <w:ind w:firstLine="709"/>
        <w:rPr>
          <w:szCs w:val="28"/>
        </w:rPr>
      </w:pPr>
      <w:r>
        <w:rPr>
          <w:szCs w:val="28"/>
        </w:rPr>
      </w:r>
    </w:p>
    <w:p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 xml:space="preserve">РАСХОДЫ</w:t>
      </w:r>
    </w:p>
    <w:p>
      <w:pPr>
        <w:pStyle w:val="BodyText"/>
        <w:jc w:val="center"/>
        <w:rPr>
          <w:b/>
          <w:szCs w:val="28"/>
        </w:rPr>
      </w:pPr>
      <w:r>
        <w:rPr>
          <w:b/>
          <w:szCs w:val="28"/>
        </w:rPr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Финансирование расходов осуществлялось в соответствии с кассовым планом исполнения бюджета муниципального образования. Учитывая дефицитность бюджета, ежемесячное распределение бюджетных средств финансировалось  на первоочередные статьи (заработную плату работникам бюджетной сферы, оплату коммунальных услуг, на питание детей  в образовательных учреждениях, на обеспечение ГСМ и другие первоочередные расходы)  и только затем на остальные виды расходов.</w:t>
      </w:r>
    </w:p>
    <w:p>
      <w:pPr>
        <w:pStyle w:val="BodyText"/>
        <w:rPr>
          <w:szCs w:val="28"/>
        </w:rPr>
      </w:pPr>
      <w:r>
        <w:rPr>
          <w:szCs w:val="28"/>
        </w:rPr>
        <w:tab/>
        <w:t xml:space="preserve">Общий объём расходов консолидированного бюджета за 1 квартал 2019 года </w:t>
      </w:r>
      <w:r>
        <w:rPr>
          <w:szCs w:val="28"/>
        </w:rPr>
        <w:t xml:space="preserve">составил 85 331,8 тыс. руб. (за  1 квартал 2018 года – 74 628,0 тыс. руб.). Темп роста расходов к 2018 году составил 114,3%.</w:t>
      </w:r>
    </w:p>
    <w:p>
      <w:pPr>
        <w:pStyle w:val="BodyText"/>
        <w:ind w:firstLine="709"/>
        <w:rPr>
          <w:szCs w:val="28"/>
        </w:rPr>
      </w:pPr>
      <w:r>
        <w:rPr>
          <w:szCs w:val="28"/>
        </w:rPr>
        <w:t xml:space="preserve">Расходы консолидированного бюджета в 1 квартале 2019 года по сравнению с аналогичным периодом 2018 года увеличены на 10 703,8 тыс. руб.  Это объясняется тем, что в 1 квартале 2019 года денежные средства направлялись на погашение кредиторской задолженности перед ПФ РФ по исполнительным листам.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бюджета сохранена его социальная направленность. На финансирование социально-ориентированных отраслей направлено 63861,9 тыс. рублей или 74,8% от общих расходов бюджета. </w:t>
      </w:r>
    </w:p>
    <w:p>
      <w:pPr>
        <w:pStyle w:val="BodyText"/>
        <w:ind w:firstLine="709"/>
        <w:rPr>
          <w:szCs w:val="28"/>
        </w:rPr>
      </w:pPr>
      <w:r>
        <w:rPr>
          <w:szCs w:val="28"/>
        </w:rPr>
        <w:t xml:space="preserve">Наибольшую долю расходов в консолидированном бюджете занимает оплата труда с начислениями – 55154,9 тыс. руб. или  64,6%. Расходы на оплату коммунальных услуг составляют 6492,6 тыс. руб. или 7,6%.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Исполнение расходов в  разрезе отраслей выглядит следующим образом:</w:t>
      </w:r>
    </w:p>
    <w:p>
      <w:pPr>
        <w:pStyle w:val="BodyText"/>
        <w:ind w:firstLine="709"/>
        <w:rPr>
          <w:szCs w:val="28"/>
        </w:rPr>
      </w:pPr>
      <w:r>
        <w:rPr>
          <w:szCs w:val="28"/>
        </w:rPr>
        <w:t xml:space="preserve">Наибольший удельный вес в общем объёме расходов занимают расходы по разделу «Образование» - 60,2 % или 51389,4 тыс. руб. </w:t>
      </w:r>
    </w:p>
    <w:p>
      <w:pPr>
        <w:pStyle w:val="BodyText"/>
        <w:ind w:firstLine="709"/>
        <w:rPr>
          <w:szCs w:val="28"/>
        </w:rPr>
      </w:pPr>
      <w:r>
        <w:rPr>
          <w:szCs w:val="28"/>
        </w:rPr>
        <w:t xml:space="preserve">За </w:t>
      </w:r>
      <w:r>
        <w:rPr>
          <w:b/>
          <w:szCs w:val="28"/>
        </w:rPr>
        <w:t xml:space="preserve">1 квартал 2019 года </w:t>
      </w:r>
      <w:r>
        <w:rPr>
          <w:color w:val="052635"/>
          <w:szCs w:val="28"/>
        </w:rPr>
        <w:t xml:space="preserve">произведе</w:t>
      </w:r>
      <w:r>
        <w:rPr>
          <w:szCs w:val="28"/>
        </w:rPr>
        <w:t xml:space="preserve">ны расходы: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- на оплату труда и начисления на выплаты по оплате труда работникам образования –37719,1 тыс. руб.;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 - на оплату коммунальных услуг – 3741,1 тыс. руб.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- на питание – 4185,4 тыс. руб.; 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- на приобретение ГСМ – 708,2 тыс. руб.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 В области  культуры расходы составили  6946,6  тыс. руб.</w:t>
      </w:r>
    </w:p>
    <w:p>
      <w:pPr>
        <w:pStyle w:val="BodyText"/>
        <w:ind w:firstLine="720"/>
        <w:tabs>
          <w:tab w:val="left" w:pos="8610" w:leader="none"/>
        </w:tabs>
        <w:rPr>
          <w:szCs w:val="28"/>
        </w:rPr>
      </w:pPr>
      <w:r>
        <w:rPr>
          <w:szCs w:val="28"/>
        </w:rPr>
        <w:t xml:space="preserve">За 1 квартал 2019 года </w:t>
      </w:r>
      <w:r>
        <w:rPr>
          <w:color w:val="052635"/>
          <w:szCs w:val="28"/>
        </w:rPr>
        <w:t xml:space="preserve">произведе</w:t>
      </w:r>
      <w:r>
        <w:rPr>
          <w:szCs w:val="28"/>
        </w:rPr>
        <w:t xml:space="preserve">ны расходы:</w:t>
        <w:tab/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- оплата труда и начисления на выплаты по оплате труда работникам культуры – 6145,7 тыс. руб.;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 - оплата коммунальных услуг – 234,1 тыс. руб.;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- приобретение ГСМ – 177,8 тыс. руб.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Доля расходов по разделу «Жилищно-коммунальное хозяйство» в консолидированном бюджете составляет 3,8 % или  3220,5 тыс. руб. </w:t>
      </w:r>
    </w:p>
    <w:p>
      <w:pPr>
        <w:pStyle w:val="BodyText"/>
        <w:ind w:firstLine="709"/>
        <w:rPr>
          <w:szCs w:val="28"/>
        </w:rPr>
      </w:pPr>
      <w:r>
        <w:rPr>
          <w:szCs w:val="28"/>
        </w:rPr>
        <w:t xml:space="preserve">За 1 квартал</w:t>
      </w:r>
      <w:r>
        <w:rPr>
          <w:color w:val="052635"/>
          <w:szCs w:val="28"/>
        </w:rPr>
        <w:t xml:space="preserve"> 2019 года</w:t>
      </w:r>
      <w:r>
        <w:rPr>
          <w:szCs w:val="28"/>
        </w:rPr>
        <w:t xml:space="preserve"> произведены расходы:</w:t>
      </w:r>
    </w:p>
    <w:p>
      <w:pPr>
        <w:pStyle w:val="BodyText"/>
        <w:ind w:firstLine="709"/>
        <w:rPr>
          <w:szCs w:val="28"/>
        </w:rPr>
      </w:pPr>
      <w:r>
        <w:rPr>
          <w:szCs w:val="28"/>
        </w:rPr>
        <w:t xml:space="preserve">- реализация мероприятий муниципальной программы «Подготовка объектов теплового хозяйства к отопительным сезонам на 2015-2019 годов на территории муниципального образования «Вешкаймское городское поселение» – 908,0 тыс. руб.;</w:t>
      </w:r>
    </w:p>
    <w:p>
      <w:pPr>
        <w:pStyle w:val="BodyText"/>
        <w:ind w:firstLine="709"/>
        <w:rPr>
          <w:szCs w:val="28"/>
        </w:rPr>
      </w:pPr>
      <w:r>
        <w:rPr>
          <w:szCs w:val="28"/>
        </w:rPr>
        <w:t xml:space="preserve">- Мероприятия по ликвидации МКП «Теплосервис» муниципального образования «Вешкаймское городское поселение»  – 137,2 тыс. руб.;</w:t>
      </w:r>
    </w:p>
    <w:p>
      <w:pPr>
        <w:pStyle w:val="BodyText"/>
        <w:ind w:firstLine="709"/>
        <w:rPr>
          <w:szCs w:val="28"/>
        </w:rPr>
      </w:pPr>
      <w:r>
        <w:rPr>
          <w:szCs w:val="28"/>
        </w:rPr>
        <w:t xml:space="preserve">- Муниципальная программа «Содействия муниципального образования Чуфаровское городское поселение по подготовке к работе в зимний период и прохождению отопительного сезона МУП «Тепловик» на 2017-2019годы»– 82,4 тыс. руб.;</w:t>
      </w:r>
    </w:p>
    <w:p>
      <w:pPr>
        <w:pStyle w:val="BodyText"/>
        <w:ind w:firstLine="709"/>
        <w:rPr>
          <w:szCs w:val="28"/>
        </w:rPr>
      </w:pPr>
      <w:r>
        <w:rPr>
          <w:szCs w:val="28"/>
        </w:rPr>
        <w:t xml:space="preserve">- Уличное освещение – 1252,9 тыс. руб.;</w:t>
      </w:r>
    </w:p>
    <w:p>
      <w:pPr>
        <w:pStyle w:val="BodyText"/>
        <w:ind w:firstLine="709"/>
        <w:rPr>
          <w:szCs w:val="28"/>
        </w:rPr>
      </w:pPr>
      <w:r>
        <w:rPr>
          <w:szCs w:val="28"/>
        </w:rPr>
        <w:t xml:space="preserve">- Строительство и содержание автомобильных дорог и инженерных сооружений на них в границах поселений в рамках благоустройства– 368,8 тыс. руб.;</w:t>
      </w:r>
    </w:p>
    <w:p>
      <w:pPr>
        <w:pStyle w:val="BodyText"/>
        <w:ind w:firstLine="709"/>
        <w:rPr>
          <w:szCs w:val="28"/>
        </w:rPr>
      </w:pPr>
      <w:r>
        <w:rPr>
          <w:szCs w:val="28"/>
        </w:rPr>
        <w:t xml:space="preserve">- Прочие мероприятия по благоустройству поселений – 229,7 тыс. руб.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Доля общегосударственных расходов в консолидированном бюджете составляет 16,8 процентов  или  14367,7 тыс. руб. 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Расходы по разделу «Социальная политика» за 1 квартал 2019 года составили 5511,1 тыс.руб. 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В 1 квартале 2019 года произведены расходы: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- 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 – 4318,3 тыс. руб.;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- Субвенции на финансовое обеспечение расходных обязательств, связанных с выплатой родителям компенсации части внесённой в соответствующие образовательные организации родительской платы за присмотр и уход за детьми – 506,9 тыс. руб.;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- Доплаты к пенсиям муниципальных служащих – 242,1тыс. руб.;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- Муниципальная программа "Забота" на 2018-2020 годы" – 64,5 тыс. руб.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Расходы по разделу «Национальная экономика» за 1 квартал 2019 года составили 2928,2 тыс.руб.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В 1 квартале 2019 года произведены расходы: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- средства на строительство, реконструкцию, капитальный ремонт, ремонт и содержание (областные средства) - 2491,1 тыс.руб.;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- дорожная деятельность в отношении автомобильных дорог местного значения за исключением ремонта и строительства автомобильных дорог -311,8 тыс.руб.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Расходы по разделу «Национальная безопасность и правоохранительная деятельность» за 1 квартал 2019 года составили 769,1 тыс.руб. 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За 1 квартал 2019 года произведены расходы: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- оплата труда и начисления на выплаты по оплате труда – 578,3тыс. руб.;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- услуги связи – 58,6 тыс. руб.</w:t>
      </w:r>
    </w:p>
    <w:p>
      <w:pPr>
        <w:pStyle w:val="BodyText"/>
        <w:ind w:firstLine="709"/>
        <w:rPr>
          <w:szCs w:val="28"/>
        </w:rPr>
      </w:pPr>
      <w:r>
        <w:rPr>
          <w:szCs w:val="28"/>
        </w:rPr>
        <w:t xml:space="preserve">На проведение мероприятий по физической культуре и массовому спорту направлено в сумме 14,8 тыс. руб.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В процессе исполнения бюджета 2019 года всеми муниципальными образованиями Вешкаймского района были соблюдены нормативы расходов на содержание органов местного самоуправления, установленные Правительством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использования бюджетных средств и оптимизации расходных обязательств разработана программа оздоровления муниципальных финансов муниципального образования «Вешкаймский район» на 2019 – 2021 годы. Согласно запланированных мероприятий ожидаемая сумма экономии бюджетных средств в 2019 году составит 2534,0 тыс. руб.</w:t>
      </w:r>
    </w:p>
    <w:p>
      <w:pPr>
        <w:pStyle w:val="BodyText"/>
        <w:ind w:firstLine="720"/>
        <w:rPr>
          <w:szCs w:val="28"/>
        </w:rPr>
      </w:pPr>
      <w:r>
        <w:rPr>
          <w:szCs w:val="28"/>
        </w:rPr>
        <w:t xml:space="preserve">Сумма экономии расходов бюджета муниципального образования «Вешкаймский район» за 1 квартал 2019 года составила 397,6 тыс. руб., средства направлены на первоочередные расходы.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сбалансированности бюджета муниципального образования «Вешкаймский район» и оптимизации бюджетных расходов создан Межведомственный Совет по повышению эффективности бюджетных расходов муниципального образования «Вешкаймский район». В 2019 году проведено одно заседание Межведомственного Совета. По итогам заседания главным распорядителям бюджетных средств даны поручения, касающиеся усиления контроля за расходом топливно–энергетических ресурсов и оценки эффектвности разработанных муниципальных программ и др., рекомендовано  продолжить работу по экономии бюджетных средств.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Организация казначейского исполнения бюджета</w:t>
      </w:r>
      <w:r>
        <w:rPr>
          <w:b/>
          <w:sz w:val="28"/>
          <w:szCs w:val="26"/>
        </w:rPr>
      </w:r>
    </w:p>
    <w:p>
      <w:pPr>
        <w:pStyle w:val="Normal"/>
        <w:ind w:firstLine="72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</w:r>
    </w:p>
    <w:p>
      <w:pPr>
        <w:pStyle w:val="Normal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Исполнение бюджета муниципального образования «Вешкаймский район», бюджетов сельских и городского поселений осуществляется на базе программного комплекса «</w:t>
      </w:r>
      <w:r>
        <w:rPr>
          <w:sz w:val="28"/>
          <w:szCs w:val="26"/>
        </w:rPr>
        <w:t xml:space="preserve">АЦК-Финансы</w:t>
      </w:r>
      <w:r>
        <w:rPr>
          <w:sz w:val="28"/>
          <w:szCs w:val="26"/>
        </w:rPr>
        <w:t xml:space="preserve">».</w:t>
      </w:r>
      <w:r>
        <w:rPr>
          <w:sz w:val="28"/>
          <w:szCs w:val="26"/>
        </w:rPr>
      </w:r>
    </w:p>
    <w:p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 xml:space="preserve">В соответствии с задачами, возложенными на финансовое управление, в </w:t>
      </w:r>
      <w:r>
        <w:rPr>
          <w:sz w:val="28"/>
          <w:szCs w:val="26"/>
        </w:rPr>
        <w:t xml:space="preserve">течении первого квартала 2</w:t>
      </w:r>
      <w:r>
        <w:rPr>
          <w:sz w:val="28"/>
          <w:szCs w:val="26"/>
        </w:rPr>
        <w:t xml:space="preserve">01</w:t>
      </w:r>
      <w:r>
        <w:rPr>
          <w:sz w:val="28"/>
          <w:szCs w:val="26"/>
        </w:rPr>
        <w:t xml:space="preserve">8</w:t>
      </w:r>
      <w:r>
        <w:rPr>
          <w:sz w:val="28"/>
          <w:szCs w:val="26"/>
        </w:rPr>
        <w:t xml:space="preserve"> год</w:t>
      </w:r>
      <w:r>
        <w:rPr>
          <w:sz w:val="28"/>
          <w:szCs w:val="26"/>
        </w:rPr>
        <w:t xml:space="preserve">а</w:t>
      </w:r>
      <w:r>
        <w:rPr>
          <w:sz w:val="28"/>
          <w:szCs w:val="26"/>
        </w:rPr>
        <w:t xml:space="preserve"> проводилась работа по обслуживанию и ведению  лицевых счетов бюджетополучателей, открытых в финансовом управлении администрации муниципального образования «Вешкаймский район», </w:t>
      </w:r>
      <w:r>
        <w:rPr>
          <w:color w:val="000000"/>
          <w:spacing w:val="3"/>
          <w:sz w:val="28"/>
          <w:szCs w:val="28"/>
        </w:rPr>
        <w:t xml:space="preserve">контроль за целевым использованием бюджетных средств</w:t>
      </w:r>
      <w:r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6"/>
        </w:rPr>
        <w:t xml:space="preserve">Вешкаймский</w:t>
      </w:r>
      <w:r>
        <w:rPr>
          <w:sz w:val="28"/>
          <w:szCs w:val="28"/>
        </w:rPr>
        <w:t xml:space="preserve"> район» в соответствии с действующей бюджетной классификацией.</w:t>
      </w:r>
      <w:r>
        <w:rPr>
          <w:color w:val="000000"/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По состоянию на 1</w:t>
      </w:r>
      <w:r>
        <w:rPr>
          <w:sz w:val="28"/>
          <w:szCs w:val="26"/>
        </w:rPr>
        <w:t xml:space="preserve"> апреля </w:t>
      </w:r>
      <w:r>
        <w:rPr>
          <w:sz w:val="28"/>
          <w:szCs w:val="26"/>
        </w:rPr>
        <w:t xml:space="preserve">201</w:t>
      </w:r>
      <w:r>
        <w:rPr>
          <w:sz w:val="28"/>
          <w:szCs w:val="26"/>
        </w:rPr>
        <w:t xml:space="preserve">9</w:t>
      </w:r>
      <w:r>
        <w:rPr>
          <w:sz w:val="28"/>
          <w:szCs w:val="26"/>
        </w:rPr>
        <w:t xml:space="preserve"> г. в финансовом управлении открыто 5</w:t>
      </w:r>
      <w:r>
        <w:rPr>
          <w:sz w:val="28"/>
          <w:szCs w:val="26"/>
        </w:rPr>
        <w:t xml:space="preserve">2</w:t>
      </w:r>
      <w:r>
        <w:rPr>
          <w:sz w:val="28"/>
          <w:szCs w:val="26"/>
        </w:rPr>
        <w:t xml:space="preserve"> лицевых счет</w:t>
      </w:r>
      <w:r>
        <w:rPr>
          <w:sz w:val="28"/>
          <w:szCs w:val="26"/>
        </w:rPr>
        <w:t xml:space="preserve">а</w:t>
      </w:r>
      <w:r>
        <w:rPr>
          <w:sz w:val="28"/>
          <w:szCs w:val="26"/>
        </w:rPr>
        <w:t xml:space="preserve">, из них:</w:t>
      </w:r>
    </w:p>
    <w:p>
      <w:pPr>
        <w:pStyle w:val="Normal"/>
        <w:numPr>
          <w:numId w:val="15"/>
          <w:ilvl w:val="0"/>
        </w:numPr>
        <w:ind w:left="9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10 лицевых счетов главных распорядителей (распорядителей) бюджетных средств муниципального района; </w:t>
      </w:r>
    </w:p>
    <w:p>
      <w:pPr>
        <w:pStyle w:val="Normal"/>
        <w:numPr>
          <w:numId w:val="15"/>
          <w:ilvl w:val="0"/>
        </w:numPr>
        <w:ind w:left="920"/>
        <w:jc w:val="both"/>
        <w:spacing w:before="100" w:beforeAutospacing="1"/>
        <w:rPr>
          <w:sz w:val="28"/>
          <w:szCs w:val="26"/>
        </w:rPr>
      </w:pPr>
      <w:r>
        <w:rPr>
          <w:sz w:val="28"/>
          <w:szCs w:val="26"/>
        </w:rPr>
        <w:t xml:space="preserve">4</w:t>
      </w:r>
      <w:r>
        <w:rPr>
          <w:sz w:val="28"/>
          <w:szCs w:val="26"/>
        </w:rPr>
        <w:t xml:space="preserve">2</w:t>
      </w:r>
      <w:r>
        <w:rPr>
          <w:sz w:val="28"/>
          <w:szCs w:val="26"/>
        </w:rPr>
        <w:t xml:space="preserve">   лицевых счета  получателей  бюджетных средств муниципального района.</w:t>
      </w:r>
    </w:p>
    <w:p>
      <w:pPr>
        <w:pStyle w:val="HtmlPr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приказом №28 от 29.11.2010г. «Об утверждении Порядка открытия и ведения лицевых счетов Муниципальным учреждением финансовое управление администрации муниципального образования «</w:t>
      </w:r>
      <w:r>
        <w:rPr>
          <w:rFonts w:ascii="Times New Roman" w:hAnsi="Times New Roman"/>
          <w:sz w:val="28"/>
          <w:szCs w:val="26"/>
        </w:rPr>
        <w:t xml:space="preserve">Вешкаймский</w:t>
      </w:r>
      <w:r>
        <w:rPr>
          <w:rFonts w:ascii="Times New Roman" w:hAnsi="Times New Roman"/>
          <w:sz w:val="28"/>
        </w:rPr>
        <w:t xml:space="preserve"> район» Ульяновской области» отдел казначейского исполнения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обеспечивает своевременное оформление платёжных документов для списания средств с единого счёта бюджета муниципального образования «</w:t>
      </w:r>
      <w:r>
        <w:rPr>
          <w:rFonts w:ascii="Times New Roman" w:hAnsi="Times New Roman"/>
          <w:sz w:val="28"/>
          <w:szCs w:val="26"/>
        </w:rPr>
        <w:t xml:space="preserve">Вешкаймский</w:t>
      </w:r>
      <w:r>
        <w:rPr>
          <w:rFonts w:ascii="Times New Roman" w:hAnsi="Times New Roman"/>
          <w:sz w:val="28"/>
          <w:szCs w:val="28"/>
        </w:rPr>
        <w:t xml:space="preserve"> район». </w:t>
      </w:r>
      <w:r>
        <w:rPr>
          <w:rFonts w:ascii="Times New Roman" w:hAnsi="Times New Roman"/>
          <w:sz w:val="28"/>
          <w:szCs w:val="28"/>
        </w:rPr>
        <w:t xml:space="preserve">Платежные поручения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оформляются в программе </w:t>
      </w:r>
      <w:r>
        <w:rPr>
          <w:rFonts w:ascii="Times New Roman" w:hAnsi="Times New Roman"/>
          <w:sz w:val="28"/>
          <w:szCs w:val="26"/>
        </w:rPr>
        <w:t xml:space="preserve">«</w:t>
      </w:r>
      <w:r>
        <w:rPr>
          <w:rFonts w:ascii="Times New Roman" w:hAnsi="Times New Roman"/>
          <w:sz w:val="28"/>
          <w:szCs w:val="26"/>
        </w:rPr>
        <w:t xml:space="preserve">АЦК-Финансы</w:t>
      </w:r>
      <w:r>
        <w:rPr>
          <w:rFonts w:ascii="Times New Roman" w:hAnsi="Times New Roman"/>
          <w:sz w:val="28"/>
          <w:szCs w:val="26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</w:rPr>
        <w:t xml:space="preserve">, обрабатываются согласно доведённых лимитов и бюджетных ассигнований. На каждого получателя бюджетных средств  формируется юридическое дело. Всего сформировано 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дела в т.ч. по бюджету муниципального района 2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pStyle w:val="HtmlPr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  </w:t>
      </w:r>
      <w:r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 xml:space="preserve">201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 было принято и оформлено </w:t>
      </w:r>
      <w:r>
        <w:rPr>
          <w:rFonts w:ascii="Times New Roman" w:hAnsi="Times New Roman"/>
          <w:sz w:val="28"/>
          <w:szCs w:val="28"/>
        </w:rPr>
        <w:t xml:space="preserve">3 325 </w:t>
      </w:r>
      <w:r>
        <w:rPr>
          <w:rFonts w:ascii="Times New Roman" w:hAnsi="Times New Roman"/>
          <w:sz w:val="28"/>
          <w:szCs w:val="28"/>
        </w:rPr>
        <w:t xml:space="preserve">платёжн</w:t>
      </w:r>
      <w:r>
        <w:rPr>
          <w:rFonts w:ascii="Times New Roman" w:hAnsi="Times New Roman"/>
          <w:sz w:val="28"/>
          <w:szCs w:val="28"/>
        </w:rPr>
        <w:t xml:space="preserve">ых</w:t>
      </w:r>
      <w:r>
        <w:rPr>
          <w:rFonts w:ascii="Times New Roman" w:hAnsi="Times New Roman"/>
          <w:sz w:val="28"/>
          <w:szCs w:val="28"/>
        </w:rPr>
        <w:t xml:space="preserve"> поручени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общую сумму </w:t>
      </w:r>
      <w:r>
        <w:rPr>
          <w:rFonts w:ascii="Times New Roman" w:hAnsi="Times New Roman"/>
          <w:sz w:val="28"/>
          <w:szCs w:val="28"/>
        </w:rPr>
        <w:t xml:space="preserve">96 771,9</w:t>
      </w:r>
      <w:r>
        <w:rPr>
          <w:rFonts w:ascii="Times New Roman" w:hAnsi="Times New Roman"/>
          <w:sz w:val="28"/>
          <w:szCs w:val="28"/>
        </w:rPr>
        <w:t xml:space="preserve"> тыс. рублей. Ежедневно до всех бюджетополучателей доводится выписка  с  лицевых счетов по списанию денежных средств. По окончании операционного дня распечатываются «распоряжения на перечисления денежных средств с текущего счёта».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 xml:space="preserve">201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  год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было сформировано  </w:t>
      </w:r>
      <w:r>
        <w:rPr>
          <w:rFonts w:ascii="Times New Roman" w:hAnsi="Times New Roman"/>
          <w:sz w:val="28"/>
          <w:szCs w:val="28"/>
        </w:rPr>
        <w:t xml:space="preserve">357 </w:t>
      </w:r>
      <w:r>
        <w:rPr>
          <w:rFonts w:ascii="Times New Roman" w:hAnsi="Times New Roman"/>
          <w:sz w:val="28"/>
          <w:szCs w:val="28"/>
        </w:rPr>
        <w:t xml:space="preserve">распоряжени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pStyle w:val="Normal"/>
        <w:ind w:firstLine="539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Ежемесячно бюджетополучателям направляются карточки лицевых счетов, на которых отражается: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лимиты бюджетных обязательств текущего финансового года,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остаток лимитов бюджетных обязательств текущего года,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кассовый план,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-остаток кассового плана,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объём  финансирования расходов,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-остаток неиспользованного объема финансирования,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кассовые расходы,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восстановление кассовых расходов.</w:t>
      </w: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первого квартала 2019 года проводилась постоянная работа по исполнению исполнительных листов, решений судов  и решений налоговой инспекции. За 1 квартал 2019 года получено 131 исполнительный документ, из них 17 возвращено взыскателю без исполнения с указанием причины возврата.  С учетом исполнительных документов полученных за предыдущие годы за первый квартал текущего года оплачено на общую </w:t>
      </w:r>
      <w:r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8 188,1 тыс.руб. По состоянию на 01.04.2019 года в отделе на контроле находятся 359 исполнительных документов  на сумму 40 532,2 тыс.руб.</w:t>
      </w: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</w:pPr>
      <w:r>
        <w:rPr>
          <w:sz w:val="28"/>
          <w:szCs w:val="28"/>
        </w:rPr>
        <w:t xml:space="preserve">Финансовый</w:t>
        <w:tab/>
        <w:t xml:space="preserve"> контроль</w:t>
      </w:r>
      <w:r>
        <w:t xml:space="preserve">.</w:t>
      </w:r>
    </w:p>
    <w:p>
      <w:pPr>
        <w:pStyle w:val="Normal"/>
        <w:jc w:val="center"/>
      </w:pP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квартал 2019 года  Финансовым управлением проведено  2 плановых  и 1 внеплановая проверка по соблюдению бюджетного законодательства РФ и иных нормативных правовых актов при использовании средств местного бюджета и 1 проверка по соблюдению законодательства в сфере закупок товаров, работ, услуг (ч.8 ст.99 Закона № 44-ФЗ).  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отчетный период проверено 9415,4 тысяч рублей, сумма выявленных нарушений   составила 1530,3 тыс.руб.(16,3 %).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эффективное использование бюджетных средств выразилось в отвлечении денежных средств на оплату госпошлин, пеней  по исполнительным листам, не установлены приобретенные кресла в количестве 20 шт., не возмещены коммунальные услуги</w:t>
      </w:r>
      <w:r>
        <w:rPr>
          <w:sz w:val="28"/>
          <w:szCs w:val="28"/>
        </w:rPr>
        <w:t xml:space="preserve">, оговоренные в</w:t>
      </w:r>
      <w:r>
        <w:rPr>
          <w:sz w:val="28"/>
          <w:szCs w:val="28"/>
        </w:rPr>
        <w:t xml:space="preserve"> муницпальном контракт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Неправомерное использование бюджетных средств выразилось в отвлечении денежных средств на оплату штампа, печати для вновь открываемого учреждения, в выплате надбавок за классность, не оговоренная  Положением об оплате труда, в выплате  денежных средств подотчетным лицам за проезд без командировочного удостоверения, в выплате материальной помощи руководителю без решения учредителя.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прочим нарушениям относятся: не представление сведений в Реестр муниципальной собственности о приобретении основных средств, в списании материальных ценностей, в том числе бензина без подтверждающих документов, не сформирована цена пошива костюмов, не списаны материальные ценности, используемые в работе, не урегулирован НДФЛ и ЕСН при </w:t>
      </w:r>
      <w:r>
        <w:rPr>
          <w:sz w:val="28"/>
          <w:szCs w:val="28"/>
        </w:rPr>
        <w:t xml:space="preserve">удержании  сумм за дополнительные отпуска.</w:t>
      </w: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внутреннего финансового контроля в сфере закупок выявлены нарушения: при формировании плана закупок в обосновании закупок не указаны не программные виды деятельности и государственные программы  Ульяновской области,  </w:t>
      </w:r>
      <w:r>
        <w:rPr>
          <w:sz w:val="28"/>
          <w:szCs w:val="28"/>
        </w:rPr>
        <w:t xml:space="preserve">нарушения при обосновании</w:t>
      </w:r>
      <w:r>
        <w:rPr>
          <w:sz w:val="28"/>
          <w:szCs w:val="28"/>
        </w:rPr>
        <w:t xml:space="preserve"> НМЦК </w:t>
      </w:r>
      <w:r>
        <w:rPr>
          <w:sz w:val="28"/>
          <w:szCs w:val="28"/>
        </w:rPr>
        <w:t xml:space="preserve">,несоответствие поставленного товара условиям договора.</w:t>
      </w: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 проверки направлено 2 представления по  проверкам соблюдения бюджетного законодательства РФ и иных нормативных актов при использовании средств местного бюджета. </w:t>
      </w:r>
    </w:p>
    <w:p>
      <w:pPr>
        <w:pStyle w:val="HtmlNormal"/>
        <w:ind w:firstLine="360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     По итогам проверки соблюдения бюджетного законодательства РФ и иных нормативных актов при использовании средств местного бюджета к дисциплинарной ответственности привлечено 4 должностных лица, к материальной ответственности привлечено   4 должностных лица, в том числе: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</w:t>
      </w:r>
      <w:r>
        <w:rPr>
          <w:color w:val="000000"/>
          <w:sz w:val="28"/>
          <w:szCs w:val="28"/>
        </w:rPr>
        <w:t xml:space="preserve">МКУ Вешкаймский РДК нарушения устранены частично, по проверке в МДОУ Чуфаровский детский сад срок устранения нарушений не наступил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МУ Финансовое управление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"Вешкаймский район"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Т.А.Мартынова</w:t>
      </w:r>
    </w:p>
    <w:sectPr>
      <w:type w:val="nextPage"/>
      <w:pgSz w:w="11907" w:h="16840"/>
      <w:pgMar w:top="1134" w:right="567" w:bottom="1134" w:left="1701" w:gutter="0" w:header="720" w:foo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ind w:left="0" w:hanging="0"/>
        <w:tabs>
          <w:tab w:val="left" w:pos="0" w:leader="none"/>
        </w:tabs>
      </w:pPr>
    </w:lvl>
    <w:lvl w:ilvl="1">
      <w:start w:val="1"/>
      <w:numFmt w:val="decimal"/>
      <w:suff w:val="nothing"/>
      <w:lvlText w:val=""/>
      <w:lvlJc w:val="left"/>
      <w:pPr>
        <w:pStyle w:val="Normal"/>
        <w:ind w:left="0" w:hanging="0"/>
        <w:tabs>
          <w:tab w:val="left" w:pos="0" w:leader="none"/>
        </w:tabs>
      </w:pPr>
    </w:lvl>
    <w:lvl w:ilvl="2">
      <w:start w:val="1"/>
      <w:numFmt w:val="decimal"/>
      <w:suff w:val="nothing"/>
      <w:lvlText w:val=""/>
      <w:lvlJc w:val="left"/>
      <w:pPr>
        <w:pStyle w:val="Normal"/>
        <w:ind w:left="0" w:hanging="0"/>
        <w:tabs>
          <w:tab w:val="left" w:pos="0" w:leader="none"/>
        </w:tabs>
      </w:pPr>
    </w:lvl>
    <w:lvl w:ilvl="3">
      <w:start w:val="1"/>
      <w:numFmt w:val="decimal"/>
      <w:suff w:val="nothing"/>
      <w:lvlText w:val=""/>
      <w:lvlJc w:val="left"/>
      <w:pPr>
        <w:pStyle w:val="Normal"/>
        <w:ind w:left="0" w:hanging="0"/>
        <w:tabs>
          <w:tab w:val="left" w:pos="0" w:leader="none"/>
        </w:tabs>
      </w:pPr>
    </w:lvl>
    <w:lvl w:ilvl="4">
      <w:start w:val="1"/>
      <w:numFmt w:val="decimal"/>
      <w:suff w:val="nothing"/>
      <w:lvlText w:val=""/>
      <w:lvlJc w:val="left"/>
      <w:pPr>
        <w:pStyle w:val="Normal"/>
        <w:ind w:left="0" w:hanging="0"/>
        <w:tabs>
          <w:tab w:val="left" w:pos="0" w:leader="none"/>
        </w:tabs>
      </w:pPr>
    </w:lvl>
    <w:lvl w:ilvl="5">
      <w:start w:val="1"/>
      <w:numFmt w:val="decimal"/>
      <w:suff w:val="nothing"/>
      <w:lvlText w:val=""/>
      <w:lvlJc w:val="left"/>
      <w:pPr>
        <w:pStyle w:val="Normal"/>
        <w:ind w:left="0" w:hanging="0"/>
        <w:tabs>
          <w:tab w:val="left" w:pos="0" w:leader="none"/>
        </w:tabs>
      </w:pPr>
    </w:lvl>
    <w:lvl w:ilvl="6">
      <w:start w:val="1"/>
      <w:numFmt w:val="decimal"/>
      <w:suff w:val="nothing"/>
      <w:lvlText w:val=""/>
      <w:lvlJc w:val="left"/>
      <w:pPr>
        <w:pStyle w:val="Normal"/>
        <w:ind w:left="0" w:hanging="0"/>
        <w:tabs>
          <w:tab w:val="left" w:pos="0" w:leader="none"/>
        </w:tabs>
      </w:pPr>
    </w:lvl>
    <w:lvl w:ilvl="7">
      <w:start w:val="1"/>
      <w:numFmt w:val="decimal"/>
      <w:suff w:val="nothing"/>
      <w:lvlText w:val=""/>
      <w:lvlJc w:val="left"/>
      <w:pPr>
        <w:pStyle w:val="Normal"/>
        <w:ind w:left="0" w:hanging="0"/>
        <w:tabs>
          <w:tab w:val="left" w:pos="0" w:leader="none"/>
        </w:tabs>
      </w:pPr>
    </w:lvl>
    <w:lvl w:ilvl="8">
      <w:start w:val="1"/>
      <w:numFmt w:val="decimal"/>
      <w:suff w:val="nothing"/>
      <w:lvlText w:val=""/>
      <w:lvlJc w:val="left"/>
      <w:pPr>
        <w:pStyle w:val="Normal"/>
        <w:ind w:left="0" w:hanging="0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879" w:hanging="1169"/>
      </w:pPr>
      <w:rPr>
        <w:b/>
      </w:rPr>
    </w:lvl>
    <w:lvl w:ilvl="1">
      <w:start w:val="1"/>
      <w:numFmt w:val="decimal"/>
      <w:suff w:val="tab"/>
      <w:lvlText w:val="%2."/>
      <w:lvlJc w:val="left"/>
      <w:pPr>
        <w:pStyle w:val="Normal"/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6480" w:hanging="359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402"/>
      <w:numFmt w:val="bullet"/>
      <w:suff w:val="tab"/>
      <w:lvlText w:val="-"/>
      <w:lvlJc w:val="left"/>
      <w:pPr>
        <w:pStyle w:val="Normal"/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suff w:val="tab"/>
      <w:lvlText w:val="%2."/>
      <w:lvlJc w:val="left"/>
      <w:pPr>
        <w:pStyle w:val="Normal"/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6480" w:hanging="359"/>
        <w:tabs>
          <w:tab w:val="left" w:pos="6480" w:leader="none"/>
        </w:tabs>
      </w:pPr>
    </w:lvl>
  </w:abstractNum>
  <w:abstractNum w:abstractNumId="3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ind w:left="927" w:hanging="359"/>
        <w:tabs>
          <w:tab w:val="left" w:pos="927" w:leader="none"/>
        </w:tabs>
      </w:pPr>
    </w:lvl>
  </w:abstractNum>
  <w:abstractNum w:abstractNumId="4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29" w:hanging="359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pStyle w:val="Normal"/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6480" w:hanging="359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59"/>
      </w:pPr>
    </w:lvl>
    <w:lvl w:ilvl="1">
      <w:start w:val="1"/>
      <w:numFmt w:val="decimal"/>
      <w:suff w:val="tab"/>
      <w:lvlText w:val="%2."/>
      <w:lvlJc w:val="left"/>
      <w:pPr>
        <w:pStyle w:val="Normal"/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6480" w:hanging="359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59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59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79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59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59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79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59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59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79"/>
      </w:pPr>
    </w:lvl>
  </w:abstractNum>
  <w:abstractNum w:abstractNumId="7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4188" w:hanging="359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pStyle w:val="Normal"/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6480" w:hanging="359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59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decimal"/>
      <w:suff w:val="tab"/>
      <w:lvlText w:val="%2."/>
      <w:lvlJc w:val="left"/>
      <w:pPr>
        <w:pStyle w:val="Normal"/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6480" w:hanging="359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29" w:hanging="359"/>
      </w:pPr>
      <w:rPr>
        <w:rFonts w:ascii="Symbol" w:hAnsi="Symbol"/>
        <w:color w:val="000000"/>
      </w:rPr>
    </w:lvl>
    <w:lvl w:ilvl="1">
      <w:start w:val="1"/>
      <w:numFmt w:val="decimal"/>
      <w:suff w:val="tab"/>
      <w:lvlText w:val="%2."/>
      <w:lvlJc w:val="left"/>
      <w:pPr>
        <w:pStyle w:val="Normal"/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6480" w:hanging="359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59"/>
      </w:pPr>
      <w:rPr>
        <w:b/>
        <w:i w:val="false"/>
      </w:rPr>
    </w:lvl>
    <w:lvl w:ilvl="1">
      <w:start w:val="1"/>
      <w:numFmt w:val="decimal"/>
      <w:suff w:val="tab"/>
      <w:lvlText w:val="%2."/>
      <w:lvlJc w:val="left"/>
      <w:pPr>
        <w:pStyle w:val="Normal"/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6480" w:hanging="359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2"/>
      <w:numFmt w:val="bullet"/>
      <w:suff w:val="tab"/>
      <w:lvlText w:val="-"/>
      <w:lvlJc w:val="left"/>
      <w:pPr>
        <w:pStyle w:val="Normal"/>
        <w:ind w:left="927" w:hanging="359"/>
        <w:tabs>
          <w:tab w:val="left" w:pos="927" w:leader="none"/>
        </w:tabs>
      </w:p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2"/>
  </w:num>
  <w:num w:numId="5">
    <w:abstractNumId w:val="2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20"/>
  <w:footnotePr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0"/>
        <w:lang w:val="ru-RU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lang w:val="ru-RU" w:bidi="ar-SA" w:eastAsia="ru-RU"/>
    </w:rPr>
  </w:style>
  <w:style w:type="paragraph" w:styleId="Heading1">
    <w:name w:val="Заголовок 1"/>
    <w:basedOn w:val="Normal"/>
    <w:next w:val="Normal"/>
    <w:link w:val="UserStyle_0"/>
    <w:rPr>
      <w:sz w:val="28"/>
    </w:rPr>
    <w:pPr>
      <w:ind w:firstLine="720"/>
      <w:jc w:val="center"/>
      <w:keepNext/>
      <w:outlineLvl w:val="0"/>
    </w:pPr>
  </w:style>
  <w:style w:type="paragraph" w:styleId="Heading2">
    <w:name w:val="Заголовок 2"/>
    <w:basedOn w:val="Normal"/>
    <w:next w:val="Normal"/>
    <w:link w:val="UserStyle_1"/>
    <w:rPr>
      <w:sz w:val="28"/>
    </w:rPr>
    <w:pPr>
      <w:jc w:val="center"/>
      <w:keepNext/>
      <w:outlineLvl w:val="1"/>
    </w:pPr>
  </w:style>
  <w:style w:type="paragraph" w:styleId="Heading3">
    <w:name w:val="Заголовок 3"/>
    <w:basedOn w:val="Normal"/>
    <w:next w:val="Normal"/>
    <w:link w:val="UserStyle_2"/>
    <w:rPr>
      <w:b/>
      <w:sz w:val="28"/>
    </w:rPr>
    <w:pPr>
      <w:jc w:val="center"/>
      <w:keepNext/>
      <w:outlineLvl w:val="2"/>
    </w:pPr>
  </w:style>
  <w:style w:type="paragraph" w:styleId="Heading4">
    <w:name w:val="Заголовок 4"/>
    <w:basedOn w:val="Normal"/>
    <w:next w:val="Normal"/>
    <w:link w:val="Normal"/>
    <w:rPr>
      <w:b/>
      <w:sz w:val="24"/>
      <w:u w:val="single"/>
    </w:rPr>
    <w:pPr>
      <w:keepNext/>
      <w:outlineLvl w:val="3"/>
    </w:pPr>
  </w:style>
  <w:style w:type="paragraph" w:styleId="Heading5">
    <w:name w:val="Заголовок 5"/>
    <w:basedOn w:val="Normal"/>
    <w:next w:val="Normal"/>
    <w:link w:val="Normal"/>
    <w:rPr>
      <w:b/>
      <w:sz w:val="22"/>
    </w:rPr>
    <w:pPr>
      <w:keepNext/>
      <w:outlineLvl w:val="4"/>
    </w:pPr>
  </w:style>
  <w:style w:type="paragraph" w:styleId="Heading6">
    <w:name w:val="Заголовок 6"/>
    <w:basedOn w:val="Normal"/>
    <w:next w:val="Normal"/>
    <w:link w:val="Normal"/>
    <w:rPr>
      <w:b/>
      <w:sz w:val="22"/>
      <w:u w:val="single"/>
    </w:rPr>
    <w:pPr>
      <w:keepNext/>
      <w:outlineLvl w:val="5"/>
    </w:pPr>
  </w:style>
  <w:style w:type="paragraph" w:styleId="Heading7">
    <w:name w:val="Заголовок 7"/>
    <w:basedOn w:val="Normal"/>
    <w:next w:val="Normal"/>
    <w:link w:val="Normal"/>
    <w:rPr>
      <w:b/>
      <w:sz w:val="32"/>
    </w:rPr>
    <w:pPr>
      <w:jc w:val="center"/>
      <w:keepNext/>
      <w:outlineLvl w:val="6"/>
    </w:pPr>
  </w:style>
  <w:style w:type="paragraph" w:styleId="Heading8">
    <w:name w:val="Заголовок 8"/>
    <w:basedOn w:val="Normal"/>
    <w:next w:val="Normal"/>
    <w:link w:val="Normal"/>
    <w:rPr>
      <w:sz w:val="24"/>
    </w:rPr>
    <w:pPr>
      <w:jc w:val="both"/>
      <w:keepNext/>
      <w:outlineLvl w:val="7"/>
    </w:pPr>
  </w:style>
  <w:style w:type="paragraph" w:styleId="Heading9">
    <w:name w:val="Заголовок 9"/>
    <w:basedOn w:val="Normal"/>
    <w:next w:val="Normal"/>
    <w:link w:val="Normal"/>
    <w:rPr>
      <w:sz w:val="28"/>
    </w:rPr>
    <w:pPr>
      <w:ind w:firstLine="567"/>
      <w:jc w:val="center"/>
      <w:keepNext/>
      <w:outlineLvl w:val="8"/>
    </w:pPr>
  </w:style>
  <w:style w:type="character" w:styleId="NormalCharacter">
    <w:name w:val="Основной шрифт абзаца"/>
    <w:next w:val="NormalCharacter"/>
    <w:link w:val="Normal"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Title">
    <w:name w:val="Название"/>
    <w:basedOn w:val="Normal"/>
    <w:next w:val="Title"/>
    <w:link w:val="UserStyle_3"/>
    <w:rPr>
      <w:sz w:val="32"/>
    </w:rPr>
    <w:pPr>
      <w:jc w:val="center"/>
    </w:pPr>
  </w:style>
  <w:style w:type="paragraph" w:styleId="BodyText">
    <w:name w:val="Основной текст"/>
    <w:basedOn w:val="Normal"/>
    <w:next w:val="BodyText"/>
    <w:link w:val="UserStyle_4"/>
    <w:rPr>
      <w:sz w:val="28"/>
    </w:rPr>
    <w:pPr>
      <w:jc w:val="both"/>
    </w:pPr>
  </w:style>
  <w:style w:type="paragraph" w:styleId="BodyText2">
    <w:name w:val="Основной текст 2"/>
    <w:basedOn w:val="Normal"/>
    <w:next w:val="BodyText2"/>
    <w:link w:val="Normal"/>
    <w:rPr>
      <w:sz w:val="28"/>
    </w:rPr>
    <w:pPr>
      <w:jc w:val="center"/>
    </w:pPr>
  </w:style>
  <w:style w:type="paragraph" w:styleId="BodyTextIndent">
    <w:name w:val="Основной текст с отступом"/>
    <w:basedOn w:val="Normal"/>
    <w:next w:val="BodyTextIndent"/>
    <w:link w:val="UserStyle_5"/>
    <w:rPr>
      <w:sz w:val="24"/>
    </w:rPr>
    <w:pPr>
      <w:ind w:firstLine="567"/>
    </w:pPr>
  </w:style>
  <w:style w:type="paragraph" w:styleId="BodyTextIndent2">
    <w:name w:val="Основной текст с отступом 2"/>
    <w:basedOn w:val="Normal"/>
    <w:next w:val="BodyTextIndent2"/>
    <w:link w:val="Normal"/>
    <w:rPr>
      <w:sz w:val="28"/>
    </w:rPr>
    <w:pPr>
      <w:ind w:firstLine="567"/>
      <w:jc w:val="center"/>
    </w:pPr>
  </w:style>
  <w:style w:type="paragraph" w:styleId="BodyTextIndent3">
    <w:name w:val="Основной текст с отступом 3"/>
    <w:basedOn w:val="Normal"/>
    <w:next w:val="BodyTextIndent3"/>
    <w:link w:val="Normal"/>
    <w:rPr>
      <w:sz w:val="24"/>
    </w:rPr>
    <w:pPr>
      <w:ind w:firstLine="567"/>
      <w:jc w:val="center"/>
    </w:pPr>
  </w:style>
  <w:style w:type="paragraph" w:styleId="BodyText3">
    <w:name w:val="Основной текст 3"/>
    <w:basedOn w:val="Normal"/>
    <w:next w:val="BodyText3"/>
    <w:link w:val="Normal"/>
    <w:rPr>
      <w:sz w:val="24"/>
    </w:rPr>
  </w:style>
  <w:style w:type="paragraph" w:styleId="Footer">
    <w:name w:val="Нижний колонтитул"/>
    <w:basedOn w:val="Normal"/>
    <w:next w:val="Footer"/>
    <w:link w:val="Normal"/>
    <w:rPr>
      <w:sz w:val="24"/>
      <w:szCs w:val="24"/>
    </w:rPr>
    <w:pPr>
      <w:tabs>
        <w:tab w:val="center" w:pos="4677" w:leader="none"/>
        <w:tab w:val="right" w:pos="9355" w:leader="none"/>
      </w:tabs>
    </w:pPr>
  </w:style>
  <w:style w:type="paragraph" w:styleId="UserStyle_6">
    <w:name w:val="ConsNormal"/>
    <w:next w:val="UserStyle_6"/>
    <w:link w:val="Normal"/>
    <w:rPr>
      <w:rFonts w:ascii="Arial" w:hAnsi="Arial"/>
      <w:lang w:val="ru-RU" w:bidi="ar-SA" w:eastAsia="ru-RU"/>
    </w:rPr>
    <w:pPr>
      <w:ind w:firstLine="720"/>
      <w:widowControl w:val="off"/>
    </w:pPr>
  </w:style>
  <w:style w:type="table" w:styleId="TableGrid">
    <w:name w:val="Сетка таблицы"/>
    <w:basedOn w:val="TableNormal"/>
    <w:next w:val="TableGrid"/>
    <w:link w:val="Normal"/>
  </w:style>
  <w:style w:type="paragraph" w:styleId="Acetate">
    <w:name w:val="Текст выноски"/>
    <w:basedOn w:val="Normal"/>
    <w:next w:val="Acetate"/>
    <w:link w:val="UserStyle_7"/>
    <w:rPr>
      <w:rFonts w:ascii="Tahoma" w:hAnsi="Tahoma"/>
      <w:sz w:val="16"/>
      <w:szCs w:val="16"/>
    </w:rPr>
  </w:style>
  <w:style w:type="character" w:styleId="UserStyle_7">
    <w:name w:val="Текст выноски Знак"/>
    <w:basedOn w:val="NormalCharacter"/>
    <w:next w:val="UserStyle_7"/>
    <w:link w:val="Acetate"/>
    <w:rPr>
      <w:rFonts w:ascii="Tahoma" w:hAnsi="Tahoma"/>
      <w:sz w:val="16"/>
      <w:szCs w:val="16"/>
    </w:rPr>
  </w:style>
  <w:style w:type="character" w:styleId="UserStyle_4">
    <w:name w:val="Основной текст Знак"/>
    <w:basedOn w:val="NormalCharacter"/>
    <w:next w:val="UserStyle_4"/>
    <w:link w:val="BodyText"/>
    <w:rPr>
      <w:sz w:val="28"/>
    </w:rPr>
  </w:style>
  <w:style w:type="paragraph" w:styleId="HtmlNormal">
    <w:name w:val="Обычный (веб)"/>
    <w:basedOn w:val="Normal"/>
    <w:next w:val="HtmlNormal"/>
    <w:link w:val="Normal"/>
    <w:rPr>
      <w:rFonts w:eastAsia="Calibri"/>
      <w:sz w:val="24"/>
      <w:szCs w:val="24"/>
    </w:rPr>
    <w:pPr>
      <w:spacing w:after="120" w:before="120"/>
    </w:pPr>
  </w:style>
  <w:style w:type="paragraph" w:styleId="179">
    <w:name w:val="Абзац списка"/>
    <w:basedOn w:val="Normal"/>
    <w:next w:val="179"/>
    <w:link w:val="Normal"/>
    <w:rPr>
      <w:sz w:val="24"/>
      <w:szCs w:val="24"/>
    </w:rPr>
    <w:pPr>
      <w:contextualSpacing w:val="true"/>
      <w:ind w:left="720"/>
    </w:pPr>
  </w:style>
  <w:style w:type="paragraph" w:styleId="UserStyle_8">
    <w:name w:val="Style12"/>
    <w:basedOn w:val="Normal"/>
    <w:next w:val="UserStyle_8"/>
    <w:link w:val="Normal"/>
    <w:rPr>
      <w:sz w:val="24"/>
      <w:szCs w:val="24"/>
    </w:rPr>
    <w:pPr>
      <w:ind w:firstLine="566"/>
      <w:jc w:val="both"/>
      <w:spacing w:lineRule="exact" w:line="317"/>
      <w:widowControl w:val="off"/>
    </w:pPr>
  </w:style>
  <w:style w:type="paragraph" w:styleId="UserStyle_9">
    <w:name w:val="Style2"/>
    <w:basedOn w:val="Normal"/>
    <w:next w:val="UserStyle_9"/>
    <w:link w:val="Normal"/>
    <w:rPr>
      <w:sz w:val="24"/>
      <w:szCs w:val="24"/>
    </w:rPr>
    <w:pPr>
      <w:ind w:firstLine="830"/>
      <w:jc w:val="both"/>
      <w:spacing w:lineRule="exact" w:line="430"/>
      <w:widowControl w:val="off"/>
    </w:pPr>
  </w:style>
  <w:style w:type="paragraph" w:styleId="UserStyle_10">
    <w:name w:val="Задача"/>
    <w:basedOn w:val="BodyTextIndent"/>
    <w:next w:val="UserStyle_10"/>
    <w:link w:val="Normal"/>
    <w:rPr>
      <w:i/>
      <w:sz w:val="28"/>
    </w:rPr>
    <w:pPr>
      <w:ind w:hanging="0"/>
    </w:pPr>
  </w:style>
  <w:style w:type="character" w:styleId="UserStyle_11">
    <w:name w:val="highlight"/>
    <w:basedOn w:val="NormalCharacter"/>
    <w:next w:val="UserStyle_11"/>
    <w:link w:val="Normal"/>
  </w:style>
  <w:style w:type="character" w:styleId="UserStyle_12">
    <w:name w:val="Font Style64"/>
    <w:basedOn w:val="NormalCharacter"/>
    <w:next w:val="UserStyle_12"/>
    <w:link w:val="Normal"/>
    <w:rPr>
      <w:rFonts w:ascii="Times New Roman" w:hAnsi="Times New Roman"/>
      <w:sz w:val="26"/>
      <w:szCs w:val="26"/>
    </w:rPr>
  </w:style>
  <w:style w:type="character" w:styleId="UserStyle_13">
    <w:name w:val="Font Style48"/>
    <w:basedOn w:val="NormalCharacter"/>
    <w:next w:val="UserStyle_13"/>
    <w:link w:val="Normal"/>
    <w:rPr>
      <w:rFonts w:ascii="Times New Roman" w:hAnsi="Times New Roman"/>
      <w:b/>
      <w:bCs/>
      <w:sz w:val="26"/>
      <w:szCs w:val="26"/>
    </w:rPr>
  </w:style>
  <w:style w:type="paragraph" w:styleId="UserStyle_14">
    <w:name w:val="Style1"/>
    <w:basedOn w:val="Normal"/>
    <w:next w:val="UserStyle_14"/>
    <w:link w:val="Normal"/>
    <w:rPr>
      <w:sz w:val="24"/>
      <w:szCs w:val="24"/>
    </w:rPr>
    <w:pPr>
      <w:jc w:val="both"/>
      <w:spacing w:lineRule="exact" w:line="322"/>
      <w:widowControl w:val="off"/>
    </w:pPr>
  </w:style>
  <w:style w:type="paragraph" w:styleId="UserStyle_15">
    <w:name w:val="Style3"/>
    <w:basedOn w:val="Normal"/>
    <w:next w:val="UserStyle_15"/>
    <w:link w:val="Normal"/>
    <w:rPr>
      <w:sz w:val="24"/>
      <w:szCs w:val="24"/>
    </w:rPr>
    <w:pPr>
      <w:jc w:val="both"/>
      <w:spacing w:lineRule="exact" w:line="322"/>
      <w:widowControl w:val="off"/>
    </w:pPr>
  </w:style>
  <w:style w:type="paragraph" w:styleId="UserStyle_16">
    <w:name w:val="Style4"/>
    <w:basedOn w:val="Normal"/>
    <w:next w:val="UserStyle_16"/>
    <w:link w:val="Normal"/>
    <w:rPr>
      <w:sz w:val="24"/>
      <w:szCs w:val="24"/>
    </w:rPr>
    <w:pPr>
      <w:spacing w:lineRule="exact" w:line="317"/>
      <w:widowControl w:val="off"/>
    </w:pPr>
  </w:style>
  <w:style w:type="character" w:styleId="UserStyle_17">
    <w:name w:val="Font Style11"/>
    <w:basedOn w:val="NormalCharacter"/>
    <w:next w:val="UserStyle_17"/>
    <w:link w:val="Normal"/>
    <w:rPr>
      <w:rFonts w:ascii="Times New Roman" w:hAnsi="Times New Roman"/>
      <w:sz w:val="26"/>
      <w:szCs w:val="26"/>
    </w:rPr>
  </w:style>
  <w:style w:type="character" w:styleId="UserStyle_18">
    <w:name w:val="Font Style12"/>
    <w:basedOn w:val="NormalCharacter"/>
    <w:next w:val="UserStyle_18"/>
    <w:link w:val="Normal"/>
    <w:rPr>
      <w:rFonts w:ascii="Times New Roman" w:hAnsi="Times New Roman"/>
      <w:b/>
      <w:bCs/>
      <w:sz w:val="26"/>
      <w:szCs w:val="26"/>
    </w:rPr>
  </w:style>
  <w:style w:type="paragraph" w:styleId="User">
    <w:name w:val="Без интервала"/>
    <w:next w:val="User"/>
    <w:link w:val="UserStyle_19"/>
    <w:rPr>
      <w:rFonts w:ascii="Calibri" w:hAnsi="Calibri"/>
      <w:sz w:val="22"/>
      <w:szCs w:val="22"/>
      <w:lang w:bidi="ar-SA"/>
    </w:rPr>
  </w:style>
  <w:style w:type="character" w:styleId="UserStyle_20">
    <w:name w:val="Основной шрифт абзаца1"/>
    <w:next w:val="UserStyle_20"/>
    <w:link w:val="Normal"/>
  </w:style>
  <w:style w:type="character" w:styleId="UserStyle_19">
    <w:name w:val="Без интервала Знак"/>
    <w:next w:val="UserStyle_19"/>
    <w:link w:val="User"/>
    <w:locked/>
    <w:rPr>
      <w:rFonts w:ascii="Calibri" w:hAnsi="Calibri"/>
      <w:sz w:val="22"/>
      <w:szCs w:val="22"/>
      <w:lang w:bidi="ar-SA"/>
    </w:rPr>
  </w:style>
  <w:style w:type="paragraph" w:styleId="UserStyle_21">
    <w:name w:val="ConsCell"/>
    <w:next w:val="UserStyle_21"/>
    <w:link w:val="Normal"/>
    <w:rPr>
      <w:rFonts w:ascii="Arial" w:hAnsi="Arial"/>
      <w:lang w:val="ru-RU" w:bidi="ar-SA" w:eastAsia="ru-RU"/>
    </w:rPr>
    <w:pPr>
      <w:ind w:right="19772"/>
      <w:widowControl w:val="off"/>
    </w:pPr>
  </w:style>
  <w:style w:type="character" w:styleId="UserStyle_1">
    <w:name w:val="Заголовок 2 Знак"/>
    <w:basedOn w:val="NormalCharacter"/>
    <w:next w:val="UserStyle_1"/>
    <w:link w:val="Heading2"/>
    <w:rPr>
      <w:sz w:val="28"/>
    </w:rPr>
  </w:style>
  <w:style w:type="character" w:styleId="UserStyle_2">
    <w:name w:val="Заголовок 3 Знак"/>
    <w:basedOn w:val="NormalCharacter"/>
    <w:next w:val="UserStyle_2"/>
    <w:link w:val="Heading3"/>
    <w:rPr>
      <w:b/>
      <w:sz w:val="28"/>
    </w:rPr>
  </w:style>
  <w:style w:type="character" w:styleId="UserStyle_0">
    <w:name w:val="Заголовок 1 Знак"/>
    <w:basedOn w:val="NormalCharacter"/>
    <w:next w:val="UserStyle_0"/>
    <w:link w:val="Heading1"/>
    <w:rPr>
      <w:sz w:val="28"/>
    </w:rPr>
  </w:style>
  <w:style w:type="character" w:styleId="UserStyle_3">
    <w:name w:val="Название Знак"/>
    <w:basedOn w:val="NormalCharacter"/>
    <w:next w:val="UserStyle_3"/>
    <w:link w:val="Title"/>
    <w:rPr>
      <w:sz w:val="32"/>
    </w:rPr>
  </w:style>
  <w:style w:type="character" w:styleId="UserStyle_5">
    <w:name w:val="Основной текст с отступом Знак"/>
    <w:basedOn w:val="NormalCharacter"/>
    <w:next w:val="UserStyle_5"/>
    <w:link w:val="BodyTextIndent"/>
    <w:rPr>
      <w:sz w:val="24"/>
    </w:rPr>
  </w:style>
  <w:style w:type="paragraph" w:styleId="HtmlPre">
    <w:name w:val="Стандартный HTML"/>
    <w:basedOn w:val="Normal"/>
    <w:next w:val="HtmlPre"/>
    <w:link w:val="UserStyle_22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UserStyle_22">
    <w:name w:val="Стандартный HTML Знак"/>
    <w:basedOn w:val="NormalCharacter"/>
    <w:next w:val="UserStyle_22"/>
    <w:link w:val="HtmlPre"/>
    <w:rPr>
      <w:rFonts w:ascii="Courier New" w:hAnsi="Courier New"/>
    </w:rPr>
  </w:style>
  <w:style w:type="paragraph" w:styleId="UserStyle_23">
    <w:name w:val="msoorganizationname2"/>
    <w:basedOn w:val="Normal"/>
    <w:next w:val="UserStyle_23"/>
    <w:link w:val="Normal"/>
    <w:rPr>
      <w:sz w:val="24"/>
      <w:szCs w:val="24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 7-РћС„РёСЃ/5.2.7.5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