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E" w:rsidRDefault="00DD6575" w:rsidP="00BD3A6E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  <w:lang w:eastAsia="ar-SA"/>
        </w:rPr>
        <w:t xml:space="preserve"> </w:t>
      </w:r>
      <w:r w:rsidR="00BD3A6E">
        <w:rPr>
          <w:b/>
          <w:sz w:val="28"/>
          <w:szCs w:val="28"/>
        </w:rPr>
        <w:t>ПРОЕКТ</w:t>
      </w:r>
    </w:p>
    <w:p w:rsidR="001C3DA1" w:rsidRDefault="001C3DA1" w:rsidP="001C3DA1">
      <w:pPr>
        <w:autoSpaceDE w:val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СОВЕТ ДЕПУТАТОВ МУНИЦИПАЛЬНОГО  ОБРАЗОВАНИЯ  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«ВЕШКАЙМСКИЙ РАЙОН»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1C3DA1" w:rsidRDefault="001C3DA1" w:rsidP="001C3DA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3A6E" w:rsidRDefault="00BD3A6E" w:rsidP="00BD3A6E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</w:t>
      </w:r>
      <w:r w:rsidR="009F4C7B">
        <w:rPr>
          <w:b/>
          <w:color w:val="000000"/>
          <w:sz w:val="28"/>
          <w:szCs w:val="28"/>
        </w:rPr>
        <w:t>«</w:t>
      </w:r>
      <w:proofErr w:type="spellStart"/>
      <w:r w:rsidR="009F4C7B">
        <w:rPr>
          <w:b/>
          <w:color w:val="000000"/>
          <w:sz w:val="28"/>
          <w:szCs w:val="28"/>
        </w:rPr>
        <w:t>Бекетовское</w:t>
      </w:r>
      <w:proofErr w:type="spellEnd"/>
      <w:r w:rsidR="009F4C7B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b/>
          <w:color w:val="000000"/>
          <w:sz w:val="28"/>
          <w:szCs w:val="28"/>
        </w:rPr>
        <w:t>Вешкаймского</w:t>
      </w:r>
      <w:proofErr w:type="spellEnd"/>
      <w:r>
        <w:rPr>
          <w:b/>
          <w:color w:val="000000"/>
          <w:sz w:val="28"/>
          <w:szCs w:val="28"/>
        </w:rPr>
        <w:t xml:space="preserve"> района Ульяновской области</w:t>
      </w:r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1C3DA1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 xml:space="preserve">» </w:t>
      </w:r>
      <w:r w:rsidR="003F475D">
        <w:rPr>
          <w:sz w:val="28"/>
          <w:szCs w:val="28"/>
        </w:rPr>
        <w:t>об утверждении проекта местных нормативов</w:t>
      </w:r>
      <w:r w:rsidR="00076C4C" w:rsidRPr="001C3DA1">
        <w:rPr>
          <w:sz w:val="28"/>
          <w:szCs w:val="28"/>
        </w:rPr>
        <w:t xml:space="preserve"> градостроительного проектирования муниципально</w:t>
      </w:r>
      <w:r w:rsidR="009F4C7B">
        <w:rPr>
          <w:sz w:val="28"/>
          <w:szCs w:val="28"/>
        </w:rPr>
        <w:t>го</w:t>
      </w:r>
      <w:r w:rsidR="00076C4C" w:rsidRPr="001C3DA1">
        <w:rPr>
          <w:sz w:val="28"/>
          <w:szCs w:val="28"/>
        </w:rPr>
        <w:t xml:space="preserve"> образовани</w:t>
      </w:r>
      <w:r w:rsidR="009F4C7B">
        <w:rPr>
          <w:sz w:val="28"/>
          <w:szCs w:val="28"/>
        </w:rPr>
        <w:t>я</w:t>
      </w:r>
      <w:r w:rsidR="00076C4C" w:rsidRPr="001C3DA1">
        <w:rPr>
          <w:sz w:val="28"/>
          <w:szCs w:val="28"/>
        </w:rPr>
        <w:t xml:space="preserve">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9F4C7B">
        <w:rPr>
          <w:sz w:val="28"/>
          <w:szCs w:val="28"/>
        </w:rPr>
        <w:t>Вешкаймского</w:t>
      </w:r>
      <w:proofErr w:type="spellEnd"/>
      <w:r w:rsidR="009F4C7B">
        <w:rPr>
          <w:sz w:val="28"/>
          <w:szCs w:val="28"/>
        </w:rPr>
        <w:t xml:space="preserve"> района Ульяновской области</w:t>
      </w:r>
      <w:r w:rsidR="00076C4C" w:rsidRPr="001C3DA1">
        <w:rPr>
          <w:sz w:val="28"/>
          <w:szCs w:val="28"/>
        </w:rPr>
        <w:t xml:space="preserve"> Совет депутатов решил:</w:t>
      </w:r>
    </w:p>
    <w:p w:rsidR="00DD6575" w:rsidRPr="001C3DA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1C3DA1"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ния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>Вешкаймского</w:t>
      </w:r>
      <w:proofErr w:type="spellEnd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 района Ульяновской области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1C3DA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DB6916" w:rsidRPr="001C3DA1" w:rsidRDefault="00261BC1" w:rsidP="001C3DA1">
      <w:pPr>
        <w:pStyle w:val="3"/>
        <w:tabs>
          <w:tab w:val="left" w:pos="0"/>
        </w:tabs>
        <w:ind w:firstLine="700"/>
        <w:jc w:val="both"/>
        <w:rPr>
          <w:b w:val="0"/>
          <w:sz w:val="28"/>
          <w:szCs w:val="28"/>
        </w:rPr>
      </w:pPr>
      <w:r w:rsidRPr="001C3DA1">
        <w:rPr>
          <w:b w:val="0"/>
          <w:sz w:val="28"/>
          <w:szCs w:val="28"/>
        </w:rPr>
        <w:t>2.</w:t>
      </w:r>
      <w:r w:rsidR="001C3DA1" w:rsidRPr="001C3DA1">
        <w:rPr>
          <w:b w:val="0"/>
          <w:sz w:val="28"/>
          <w:szCs w:val="28"/>
        </w:rPr>
        <w:t xml:space="preserve"> </w:t>
      </w:r>
      <w:r w:rsidR="00DB6916" w:rsidRPr="001C3DA1"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4C7B" w:rsidRPr="009F4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4C7B" w:rsidRPr="009F4C7B">
        <w:rPr>
          <w:rFonts w:ascii="Times New Roman" w:hAnsi="Times New Roman" w:cs="Times New Roman"/>
          <w:sz w:val="28"/>
          <w:szCs w:val="28"/>
        </w:rPr>
        <w:t>Бекетовское</w:t>
      </w:r>
      <w:proofErr w:type="spellEnd"/>
      <w:r w:rsidR="009F4C7B" w:rsidRPr="009F4C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="00261BC1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="00261B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 xml:space="preserve">ормативы являются муниципальным правовым актом по организации градостроительной деятельности в муниципальном образовании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79180C">
        <w:rPr>
          <w:bCs/>
          <w:sz w:val="28"/>
          <w:szCs w:val="28"/>
        </w:rPr>
        <w:t>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 xml:space="preserve">Раздел 1. Расчетные показатели градостроительного проектирования муниципального </w:t>
      </w:r>
      <w:r w:rsidRPr="009F4C7B">
        <w:rPr>
          <w:b/>
          <w:sz w:val="28"/>
          <w:szCs w:val="28"/>
        </w:rPr>
        <w:t xml:space="preserve">образования </w:t>
      </w:r>
      <w:r w:rsidR="009F4C7B" w:rsidRPr="009F4C7B">
        <w:rPr>
          <w:b/>
          <w:sz w:val="28"/>
          <w:szCs w:val="28"/>
        </w:rPr>
        <w:t>«</w:t>
      </w:r>
      <w:proofErr w:type="spellStart"/>
      <w:r w:rsidR="009F4C7B" w:rsidRPr="009F4C7B">
        <w:rPr>
          <w:b/>
          <w:sz w:val="28"/>
          <w:szCs w:val="28"/>
        </w:rPr>
        <w:t>Бекетовское</w:t>
      </w:r>
      <w:proofErr w:type="spellEnd"/>
      <w:r w:rsidR="009F4C7B" w:rsidRPr="009F4C7B">
        <w:rPr>
          <w:b/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Pr="005E23B2">
        <w:rPr>
          <w:b/>
          <w:sz w:val="28"/>
          <w:szCs w:val="28"/>
        </w:rPr>
        <w:lastRenderedPageBreak/>
        <w:t>Вешкаймского</w:t>
      </w:r>
      <w:proofErr w:type="spellEnd"/>
      <w:r w:rsidRPr="005E23B2">
        <w:rPr>
          <w:b/>
          <w:sz w:val="28"/>
          <w:szCs w:val="28"/>
        </w:rPr>
        <w:t xml:space="preserve">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кВт на ч./год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r w:rsidRPr="00C35E8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>Указанные нормы следует применять с учётом требований табл. 1 СП 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л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1C1F7B">
        <w:rPr>
          <w:sz w:val="28"/>
          <w:szCs w:val="28"/>
        </w:rPr>
        <w:t xml:space="preserve">и </w:t>
      </w:r>
      <w:proofErr w:type="gramStart"/>
      <w:r w:rsidRPr="001C1F7B">
        <w:rPr>
          <w:sz w:val="28"/>
          <w:szCs w:val="28"/>
        </w:rPr>
        <w:t>с 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3F475D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3F475D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Величина</w:t>
            </w:r>
          </w:p>
        </w:tc>
      </w:tr>
      <w:tr w:rsidR="001C1F7B" w:rsidRPr="00BB5F27" w:rsidTr="003F475D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Улично-дорожная сеть</w:t>
            </w:r>
          </w:p>
          <w:p w:rsidR="001C1F7B" w:rsidRPr="00BB5F27" w:rsidRDefault="001C1F7B" w:rsidP="003F475D">
            <w:r w:rsidRPr="00BB5F27"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 xml:space="preserve"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</w:t>
      </w:r>
      <w:r w:rsidRPr="001C1F7B">
        <w:rPr>
          <w:sz w:val="28"/>
          <w:szCs w:val="28"/>
        </w:rPr>
        <w:t>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3F475D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3F475D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3F475D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3F475D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bookmarkStart w:id="1" w:name="page5"/>
            <w:bookmarkEnd w:id="1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*  -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3F475D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№</w:t>
            </w:r>
          </w:p>
          <w:p w:rsidR="00C626B4" w:rsidRPr="00BB5F27" w:rsidRDefault="00C626B4" w:rsidP="003F475D">
            <w:r w:rsidRPr="00BB5F27"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Величина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108"/>
            </w:pPr>
            <w:r w:rsidRPr="00BB5F27"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Не нормируется</w:t>
            </w:r>
          </w:p>
        </w:tc>
      </w:tr>
      <w:tr w:rsidR="00C626B4" w:rsidRPr="00BB5F27" w:rsidTr="003F475D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объектов по техническому обслуживанию автомобилей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(АЗС)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ВСН 01-89.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C626B4">
          <w:rPr>
            <w:rStyle w:val="aa"/>
            <w:color w:val="auto"/>
            <w:sz w:val="28"/>
            <w:szCs w:val="28"/>
          </w:rPr>
          <w:t>СанПиН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 И»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839"/>
        <w:gridCol w:w="1991"/>
        <w:gridCol w:w="1970"/>
      </w:tblGrid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</w:t>
            </w:r>
            <w:proofErr w:type="spellEnd"/>
            <w:r w:rsidRPr="00BB5F27">
              <w:t>-мест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Максимальный уровень доступности мест стоянки автотранспорта, м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-место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составляет 25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735"/>
        <w:gridCol w:w="1400"/>
        <w:gridCol w:w="1399"/>
      </w:tblGrid>
      <w:tr w:rsidR="00503091" w:rsidRPr="004272CA" w:rsidTr="003F475D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3F475D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3F475D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866E03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3F475D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мест на</w:t>
            </w:r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3F475D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кв.м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bCs/>
          <w:sz w:val="28"/>
          <w:szCs w:val="28"/>
        </w:rPr>
        <w:t>Объектами дошкольного образования должны быть обеспеченны 85% 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Участки дошкольных образовательных организаций не должны примыкать непосредственно к магистральным улицам. 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r w:rsidRPr="00866E03">
        <w:rPr>
          <w:sz w:val="28"/>
          <w:szCs w:val="28"/>
          <w:vertAlign w:val="superscript"/>
        </w:rPr>
        <w:t xml:space="preserve">2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3F475D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3F475D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3F475D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3F475D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округах – 40,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пунктах – 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r w:rsidRPr="009B456B">
        <w:rPr>
          <w:sz w:val="28"/>
          <w:szCs w:val="28"/>
          <w:vertAlign w:val="superscript"/>
        </w:rPr>
        <w:t xml:space="preserve">2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3F475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gramStart"/>
            <w:r w:rsidRPr="00BB5F27">
              <w:t>мало-этажной</w:t>
            </w:r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полустационарных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 xml:space="preserve">Показатель минимальной обеспеченности населения площадью торговых объектов местного значения 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80"/>
        <w:gridCol w:w="2552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>Минимальное количество торговых</w:t>
            </w:r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808"/>
        <w:gridCol w:w="3024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</w:t>
            </w:r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2" w:name="page21"/>
      <w:bookmarkEnd w:id="2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3F475D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3F475D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3F475D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3F475D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3F475D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rPr>
                <w:bCs/>
              </w:rPr>
              <w:t xml:space="preserve">га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3F475D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3F475D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3F475D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</w:t>
      </w:r>
      <w:r w:rsidRPr="002459EF">
        <w:rPr>
          <w:sz w:val="28"/>
          <w:szCs w:val="28"/>
        </w:rPr>
        <w:t xml:space="preserve">, 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 xml:space="preserve">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1C3DA1">
        <w:rPr>
          <w:sz w:val="28"/>
          <w:szCs w:val="28"/>
        </w:rPr>
        <w:t>и застройки</w:t>
      </w:r>
      <w:r w:rsidRPr="002459EF">
        <w:rPr>
          <w:sz w:val="28"/>
          <w:szCs w:val="28"/>
        </w:rPr>
        <w:t>)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</w:t>
      </w:r>
      <w:r w:rsidRPr="002459EF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9F4C7B">
        <w:rPr>
          <w:sz w:val="28"/>
          <w:szCs w:val="28"/>
        </w:rPr>
        <w:t>Бекетовское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 xml:space="preserve"> 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5290F"/>
    <w:rsid w:val="00193661"/>
    <w:rsid w:val="001B4052"/>
    <w:rsid w:val="001C1F7B"/>
    <w:rsid w:val="001C3DA1"/>
    <w:rsid w:val="00233A5E"/>
    <w:rsid w:val="002459EF"/>
    <w:rsid w:val="00261BC1"/>
    <w:rsid w:val="00263740"/>
    <w:rsid w:val="00280197"/>
    <w:rsid w:val="00314F53"/>
    <w:rsid w:val="00334E45"/>
    <w:rsid w:val="0035709C"/>
    <w:rsid w:val="003A3C8B"/>
    <w:rsid w:val="003F475D"/>
    <w:rsid w:val="00431D65"/>
    <w:rsid w:val="00437A16"/>
    <w:rsid w:val="0045002E"/>
    <w:rsid w:val="00457F01"/>
    <w:rsid w:val="00496867"/>
    <w:rsid w:val="00503091"/>
    <w:rsid w:val="00517F98"/>
    <w:rsid w:val="005348A4"/>
    <w:rsid w:val="0059269E"/>
    <w:rsid w:val="005E23B2"/>
    <w:rsid w:val="005F6CC0"/>
    <w:rsid w:val="0062776B"/>
    <w:rsid w:val="00654DAF"/>
    <w:rsid w:val="006D32B1"/>
    <w:rsid w:val="00774696"/>
    <w:rsid w:val="007766AF"/>
    <w:rsid w:val="0079180C"/>
    <w:rsid w:val="0080457D"/>
    <w:rsid w:val="00855261"/>
    <w:rsid w:val="00866E03"/>
    <w:rsid w:val="008A14FA"/>
    <w:rsid w:val="00962F37"/>
    <w:rsid w:val="009B3700"/>
    <w:rsid w:val="009B456B"/>
    <w:rsid w:val="009F4C7B"/>
    <w:rsid w:val="00A104B1"/>
    <w:rsid w:val="00A3489A"/>
    <w:rsid w:val="00A839A1"/>
    <w:rsid w:val="00B367AF"/>
    <w:rsid w:val="00B429C8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CD14AD"/>
    <w:rsid w:val="00D23C62"/>
    <w:rsid w:val="00D72AEC"/>
    <w:rsid w:val="00D9547C"/>
    <w:rsid w:val="00DB6916"/>
    <w:rsid w:val="00DD6575"/>
    <w:rsid w:val="00EE1421"/>
    <w:rsid w:val="00EF20DB"/>
    <w:rsid w:val="00F208CA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703651-DB89-446C-9825-690CF054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Bolgov M V</cp:lastModifiedBy>
  <cp:revision>6</cp:revision>
  <cp:lastPrinted>2018-11-06T09:43:00Z</cp:lastPrinted>
  <dcterms:created xsi:type="dcterms:W3CDTF">2018-10-30T09:49:00Z</dcterms:created>
  <dcterms:modified xsi:type="dcterms:W3CDTF">2018-11-07T12:08:00Z</dcterms:modified>
</cp:coreProperties>
</file>