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6E" w:rsidRDefault="00DD6575" w:rsidP="00BD3A6E">
      <w:pPr>
        <w:jc w:val="right"/>
        <w:rPr>
          <w:b/>
          <w:sz w:val="28"/>
          <w:szCs w:val="28"/>
        </w:rPr>
      </w:pPr>
      <w:r>
        <w:rPr>
          <w:b/>
          <w:sz w:val="16"/>
          <w:szCs w:val="16"/>
          <w:lang w:eastAsia="ar-SA"/>
        </w:rPr>
        <w:t xml:space="preserve"> </w:t>
      </w:r>
      <w:r w:rsidR="00BD3A6E">
        <w:rPr>
          <w:b/>
          <w:sz w:val="28"/>
          <w:szCs w:val="28"/>
        </w:rPr>
        <w:t>ПРОЕКТ</w:t>
      </w:r>
    </w:p>
    <w:p w:rsidR="001C3DA1" w:rsidRDefault="001C3DA1" w:rsidP="001C3DA1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СОВЕТ ДЕПУТАТОВ МУНИЦИПАЛЬНОГО  ОБРАЗОВАНИЯ  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«ВЕШКАЙМСКИЙ РАЙОН»</w:t>
      </w:r>
    </w:p>
    <w:p w:rsidR="001C3DA1" w:rsidRDefault="001C3DA1" w:rsidP="001C3DA1">
      <w:pPr>
        <w:autoSpaceDE w:val="0"/>
        <w:jc w:val="center"/>
        <w:rPr>
          <w:b/>
          <w:bCs/>
        </w:rPr>
      </w:pPr>
      <w:r>
        <w:rPr>
          <w:b/>
          <w:bCs/>
        </w:rPr>
        <w:t>УЛЬЯНОВСКОЙ ОБЛАСТИ</w:t>
      </w:r>
    </w:p>
    <w:p w:rsidR="001C3DA1" w:rsidRDefault="001C3DA1" w:rsidP="001C3DA1">
      <w:pPr>
        <w:autoSpaceDE w:val="0"/>
        <w:jc w:val="center"/>
        <w:rPr>
          <w:b/>
          <w:bCs/>
          <w:sz w:val="28"/>
          <w:szCs w:val="28"/>
        </w:rPr>
      </w:pPr>
    </w:p>
    <w:p w:rsidR="001C3DA1" w:rsidRDefault="001C3DA1" w:rsidP="001C3DA1">
      <w:pPr>
        <w:autoSpaceDE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1C3DA1" w:rsidRDefault="001C3DA1" w:rsidP="001C3DA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D3A6E" w:rsidRDefault="00BD3A6E" w:rsidP="00BD3A6E">
      <w:pPr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                    № ______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</w:t>
      </w:r>
      <w:r w:rsidR="009F4C7B">
        <w:rPr>
          <w:b/>
          <w:color w:val="000000"/>
          <w:sz w:val="28"/>
          <w:szCs w:val="28"/>
        </w:rPr>
        <w:t>«</w:t>
      </w:r>
      <w:proofErr w:type="spellStart"/>
      <w:r w:rsidR="006E0B85">
        <w:rPr>
          <w:b/>
          <w:color w:val="000000"/>
          <w:sz w:val="28"/>
          <w:szCs w:val="28"/>
        </w:rPr>
        <w:t>Стемасское</w:t>
      </w:r>
      <w:proofErr w:type="spellEnd"/>
      <w:r w:rsidR="009F4C7B">
        <w:rPr>
          <w:b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b/>
          <w:color w:val="000000"/>
          <w:sz w:val="28"/>
          <w:szCs w:val="28"/>
        </w:rPr>
        <w:t>Вешкаймского</w:t>
      </w:r>
      <w:proofErr w:type="spellEnd"/>
      <w:r>
        <w:rPr>
          <w:b/>
          <w:color w:val="000000"/>
          <w:sz w:val="28"/>
          <w:szCs w:val="28"/>
        </w:rPr>
        <w:t xml:space="preserve"> района Ульяновской области</w:t>
      </w:r>
      <w:bookmarkEnd w:id="0"/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1C3DA1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 xml:space="preserve">» </w:t>
      </w:r>
      <w:r w:rsidR="003F475D">
        <w:rPr>
          <w:sz w:val="28"/>
          <w:szCs w:val="28"/>
        </w:rPr>
        <w:t>об утверждении проекта местных нормативов</w:t>
      </w:r>
      <w:r w:rsidR="00076C4C" w:rsidRPr="001C3DA1">
        <w:rPr>
          <w:sz w:val="28"/>
          <w:szCs w:val="28"/>
        </w:rPr>
        <w:t xml:space="preserve"> градостроительного проектирования муниципально</w:t>
      </w:r>
      <w:r w:rsidR="009F4C7B">
        <w:rPr>
          <w:sz w:val="28"/>
          <w:szCs w:val="28"/>
        </w:rPr>
        <w:t>го</w:t>
      </w:r>
      <w:r w:rsidR="00076C4C" w:rsidRPr="001C3DA1">
        <w:rPr>
          <w:sz w:val="28"/>
          <w:szCs w:val="28"/>
        </w:rPr>
        <w:t xml:space="preserve"> образовани</w:t>
      </w:r>
      <w:r w:rsidR="009F4C7B">
        <w:rPr>
          <w:sz w:val="28"/>
          <w:szCs w:val="28"/>
        </w:rPr>
        <w:t>я</w:t>
      </w:r>
      <w:r w:rsidR="00076C4C" w:rsidRPr="001C3DA1">
        <w:rPr>
          <w:sz w:val="28"/>
          <w:szCs w:val="28"/>
        </w:rPr>
        <w:t xml:space="preserve"> </w:t>
      </w:r>
      <w:r w:rsidR="009F4C7B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9F4C7B">
        <w:rPr>
          <w:sz w:val="28"/>
          <w:szCs w:val="28"/>
        </w:rPr>
        <w:t>Вешкаймского</w:t>
      </w:r>
      <w:proofErr w:type="spellEnd"/>
      <w:r w:rsidR="009F4C7B">
        <w:rPr>
          <w:sz w:val="28"/>
          <w:szCs w:val="28"/>
        </w:rPr>
        <w:t xml:space="preserve"> района Ульяновской области</w:t>
      </w:r>
      <w:r w:rsidR="00076C4C" w:rsidRPr="001C3DA1">
        <w:rPr>
          <w:sz w:val="28"/>
          <w:szCs w:val="28"/>
        </w:rPr>
        <w:t xml:space="preserve"> Совет депутатов решил:</w:t>
      </w:r>
    </w:p>
    <w:p w:rsidR="00DD6575" w:rsidRPr="001C3DA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1C3DA1"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ния 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9F4C7B">
        <w:rPr>
          <w:sz w:val="28"/>
          <w:szCs w:val="28"/>
        </w:rPr>
        <w:t xml:space="preserve"> сельское поселение» </w:t>
      </w:r>
      <w:proofErr w:type="spellStart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>Вешкаймского</w:t>
      </w:r>
      <w:proofErr w:type="spellEnd"/>
      <w:r w:rsidR="00DB6916" w:rsidRPr="001C3DA1">
        <w:rPr>
          <w:rFonts w:eastAsia="Times New Roman"/>
          <w:color w:val="auto"/>
          <w:sz w:val="28"/>
          <w:szCs w:val="28"/>
          <w:lang w:eastAsia="ar-SA"/>
        </w:rPr>
        <w:t xml:space="preserve"> района Ульяновской области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1C3DA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1C3DA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DB6916" w:rsidRPr="001C3DA1" w:rsidRDefault="00261BC1" w:rsidP="001C3DA1">
      <w:pPr>
        <w:pStyle w:val="3"/>
        <w:tabs>
          <w:tab w:val="left" w:pos="0"/>
        </w:tabs>
        <w:ind w:firstLine="700"/>
        <w:jc w:val="both"/>
        <w:rPr>
          <w:b w:val="0"/>
          <w:sz w:val="28"/>
          <w:szCs w:val="28"/>
        </w:rPr>
      </w:pPr>
      <w:r w:rsidRPr="001C3DA1">
        <w:rPr>
          <w:b w:val="0"/>
          <w:sz w:val="28"/>
          <w:szCs w:val="28"/>
        </w:rPr>
        <w:t>2.</w:t>
      </w:r>
      <w:r w:rsidR="001C3DA1" w:rsidRPr="001C3DA1">
        <w:rPr>
          <w:b w:val="0"/>
          <w:sz w:val="28"/>
          <w:szCs w:val="28"/>
        </w:rPr>
        <w:t xml:space="preserve"> </w:t>
      </w:r>
      <w:r w:rsidR="00DB6916" w:rsidRPr="001C3DA1">
        <w:rPr>
          <w:b w:val="0"/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DB6916">
      <w:pPr>
        <w:pStyle w:val="a9"/>
        <w:spacing w:line="276" w:lineRule="auto"/>
        <w:rPr>
          <w:sz w:val="28"/>
          <w:szCs w:val="28"/>
        </w:rPr>
      </w:pP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3DA1" w:rsidRDefault="001C3DA1" w:rsidP="001C3DA1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Вешкаймский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     Р.И. </w:t>
      </w:r>
      <w:proofErr w:type="spellStart"/>
      <w:r>
        <w:rPr>
          <w:sz w:val="28"/>
          <w:szCs w:val="28"/>
        </w:rPr>
        <w:t>Камаев</w:t>
      </w:r>
      <w:proofErr w:type="spellEnd"/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1C3DA1" w:rsidRDefault="001C3DA1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4C7B" w:rsidRPr="009F4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0B85">
        <w:rPr>
          <w:rFonts w:ascii="Times New Roman" w:hAnsi="Times New Roman" w:cs="Times New Roman"/>
          <w:sz w:val="28"/>
          <w:szCs w:val="28"/>
        </w:rPr>
        <w:t>Стемасское</w:t>
      </w:r>
      <w:proofErr w:type="spellEnd"/>
      <w:r w:rsidR="009F4C7B" w:rsidRPr="009F4C7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="00261BC1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="00261BC1">
        <w:rPr>
          <w:rFonts w:ascii="Times New Roman" w:hAnsi="Times New Roman" w:cs="Times New Roman"/>
          <w:sz w:val="28"/>
          <w:szCs w:val="28"/>
        </w:rPr>
        <w:t xml:space="preserve">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9F4C7B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</w:t>
      </w:r>
      <w:r w:rsidR="009F4C7B">
        <w:rPr>
          <w:sz w:val="28"/>
          <w:szCs w:val="28"/>
        </w:rPr>
        <w:t xml:space="preserve">сельское поселение» </w:t>
      </w:r>
      <w:proofErr w:type="spellStart"/>
      <w:r>
        <w:rPr>
          <w:sz w:val="28"/>
          <w:szCs w:val="28"/>
        </w:rPr>
        <w:t>Вешкаймского</w:t>
      </w:r>
      <w:proofErr w:type="spellEnd"/>
      <w:r>
        <w:rPr>
          <w:sz w:val="28"/>
          <w:szCs w:val="28"/>
        </w:rPr>
        <w:t xml:space="preserve">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 xml:space="preserve">ормативы являются муниципальным правовым актом по организации градостроительной деятельности в муниципальном образовании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79180C">
        <w:rPr>
          <w:bCs/>
          <w:sz w:val="28"/>
          <w:szCs w:val="28"/>
        </w:rPr>
        <w:t>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79180C">
        <w:rPr>
          <w:sz w:val="28"/>
          <w:szCs w:val="28"/>
        </w:rPr>
        <w:t>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 xml:space="preserve">Раздел 1. Расчетные показатели градостроительного проектирования муниципального </w:t>
      </w:r>
      <w:r w:rsidRPr="009F4C7B">
        <w:rPr>
          <w:b/>
          <w:sz w:val="28"/>
          <w:szCs w:val="28"/>
        </w:rPr>
        <w:t xml:space="preserve">образования </w:t>
      </w:r>
      <w:r w:rsidR="009F4C7B" w:rsidRPr="009F4C7B">
        <w:rPr>
          <w:b/>
          <w:sz w:val="28"/>
          <w:szCs w:val="28"/>
        </w:rPr>
        <w:t>«</w:t>
      </w:r>
      <w:proofErr w:type="spellStart"/>
      <w:r w:rsidR="006E0B85">
        <w:rPr>
          <w:b/>
          <w:sz w:val="28"/>
          <w:szCs w:val="28"/>
        </w:rPr>
        <w:t>Стемасское</w:t>
      </w:r>
      <w:proofErr w:type="spellEnd"/>
      <w:r w:rsidR="009F4C7B" w:rsidRPr="009F4C7B">
        <w:rPr>
          <w:b/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 xml:space="preserve"> </w:t>
      </w:r>
      <w:proofErr w:type="spellStart"/>
      <w:r w:rsidRPr="005E23B2">
        <w:rPr>
          <w:b/>
          <w:sz w:val="28"/>
          <w:szCs w:val="28"/>
        </w:rPr>
        <w:lastRenderedPageBreak/>
        <w:t>Вешкаймского</w:t>
      </w:r>
      <w:proofErr w:type="spellEnd"/>
      <w:r w:rsidRPr="005E23B2">
        <w:rPr>
          <w:b/>
          <w:sz w:val="28"/>
          <w:szCs w:val="28"/>
        </w:rPr>
        <w:t xml:space="preserve">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кВт·ч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ч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50 кВт на ч./год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r w:rsidRPr="00C35E8C"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п/п</w:t>
            </w:r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r w:rsidRPr="00C35E8C">
              <w:t xml:space="preserve">л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>Указанные нормы следует применять с учётом требований табл. 1 СП 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п/п</w:t>
            </w:r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л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(УДС)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сети. структура УДС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1C1F7B">
        <w:rPr>
          <w:sz w:val="28"/>
          <w:szCs w:val="28"/>
        </w:rPr>
        <w:t xml:space="preserve">и </w:t>
      </w:r>
      <w:proofErr w:type="gramStart"/>
      <w:r w:rsidRPr="001C1F7B">
        <w:rPr>
          <w:sz w:val="28"/>
          <w:szCs w:val="28"/>
        </w:rPr>
        <w:t>с 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В составе УДС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>Велодорожки как отдельный вид транспортного проезда необходимо проектировать в виде системы включающей в себя обособленное прохождение или по УДС.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3F475D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3F475D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3F475D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Величина</w:t>
            </w:r>
          </w:p>
        </w:tc>
      </w:tr>
      <w:tr w:rsidR="001C1F7B" w:rsidRPr="00BB5F27" w:rsidTr="003F475D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r w:rsidRPr="00BB5F27">
              <w:t>Улично-дорожная сеть</w:t>
            </w:r>
          </w:p>
          <w:p w:rsidR="001C1F7B" w:rsidRPr="00BB5F27" w:rsidRDefault="001C1F7B" w:rsidP="003F475D">
            <w:r w:rsidRPr="00BB5F27">
              <w:t>(категория дороги IV,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3F475D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 xml:space="preserve"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3F475D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3F475D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3F475D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3F475D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3F475D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bookmarkStart w:id="1" w:name="page5"/>
            <w:bookmarkEnd w:id="1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(пассажиров)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Количество при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отправлении: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Норма расчётной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вокзала в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*  -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норма расчетной вместимости вокзала в % от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 w:firstRow="0" w:lastRow="0" w:firstColumn="0" w:lastColumn="0" w:noHBand="0" w:noVBand="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3F475D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№</w:t>
            </w:r>
          </w:p>
          <w:p w:rsidR="00C626B4" w:rsidRPr="00BB5F27" w:rsidRDefault="00C626B4" w:rsidP="003F475D">
            <w:r w:rsidRPr="00BB5F27"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3F475D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Величина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площадей для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0" w:lineRule="exact"/>
            </w:pPr>
            <w:r w:rsidRPr="00BB5F27">
              <w:t>территориях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autoSpaceDE w:val="0"/>
              <w:snapToGrid w:val="0"/>
            </w:pPr>
          </w:p>
        </w:tc>
      </w:tr>
      <w:tr w:rsidR="00C626B4" w:rsidRPr="00BB5F27" w:rsidTr="003F475D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108"/>
            </w:pPr>
            <w:r w:rsidRPr="00BB5F27"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Не нормируется</w:t>
            </w:r>
          </w:p>
        </w:tc>
      </w:tr>
      <w:tr w:rsidR="00C626B4" w:rsidRPr="00BB5F27" w:rsidTr="003F475D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3F475D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объектов по техническому обслуживанию автомобилей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(АЗС) следует принимать, га: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ВСН 01-89.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отдельных моечных пунктов автотранспорта (автомоек) допускается при соблюдении размеров ориентировочных санитарно-защитных зон, установленных </w:t>
      </w:r>
      <w:hyperlink r:id="rId10" w:history="1">
        <w:r w:rsidRPr="00C626B4">
          <w:rPr>
            <w:rStyle w:val="aa"/>
            <w:color w:val="auto"/>
            <w:sz w:val="28"/>
            <w:szCs w:val="28"/>
          </w:rPr>
          <w:t>СанПиН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Расстояния между остановочными пунктами на линиях общественного пассажирского транспорта в пределах территории поселений следует принимать, м: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 И»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2839"/>
        <w:gridCol w:w="1991"/>
        <w:gridCol w:w="1970"/>
      </w:tblGrid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</w:t>
            </w:r>
            <w:proofErr w:type="spellEnd"/>
            <w:r w:rsidRPr="00BB5F27">
              <w:t>-мест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Максимальный уровень доступности мест стоянки автотранспорта, м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кв.м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3F475D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3F475D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-место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 xml:space="preserve">-мест составляет 25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</w:t>
      </w:r>
      <w:proofErr w:type="spellEnd"/>
      <w:r w:rsidRPr="00962F37">
        <w:rPr>
          <w:sz w:val="28"/>
          <w:szCs w:val="28"/>
        </w:rPr>
        <w:t>-мест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8"/>
        <w:gridCol w:w="2735"/>
        <w:gridCol w:w="1400"/>
        <w:gridCol w:w="1399"/>
      </w:tblGrid>
      <w:tr w:rsidR="00503091" w:rsidRPr="004272CA" w:rsidTr="003F475D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3F475D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3F475D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Спортивно-досуговые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3F475D">
        <w:trPr>
          <w:cantSplit/>
          <w:trHeight w:val="24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3F475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3F475D">
        <w:trPr>
          <w:cantSplit/>
          <w:trHeight w:val="480"/>
        </w:trPr>
        <w:tc>
          <w:tcPr>
            <w:tcW w:w="2127" w:type="pct"/>
          </w:tcPr>
          <w:p w:rsidR="00503091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3F475D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3F475D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866E03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3F475D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мест на</w:t>
            </w:r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3F475D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кв.м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bCs/>
          <w:sz w:val="28"/>
          <w:szCs w:val="28"/>
        </w:rPr>
        <w:t>Объектами дошкольного образования должны быть обеспеченны 85% 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Участки дошкольных образовательных организаций не должны примыкать непосредственно к магистральным улицам. 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r w:rsidRPr="00866E03">
        <w:rPr>
          <w:sz w:val="28"/>
          <w:szCs w:val="28"/>
          <w:vertAlign w:val="superscript"/>
        </w:rPr>
        <w:t xml:space="preserve">2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3F475D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п/п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территориальной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3F475D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3F475D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(I-IX классы) и до 75% детей - средним общим образованием (X-XI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3F475D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округах – 40,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3F475D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3F475D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пунктах – 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  <w:tr w:rsidR="009B456B" w:rsidRPr="00BB5F27" w:rsidTr="003F475D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3F475D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r w:rsidRPr="009B456B">
        <w:rPr>
          <w:sz w:val="28"/>
          <w:szCs w:val="28"/>
          <w:vertAlign w:val="superscript"/>
        </w:rPr>
        <w:t xml:space="preserve">2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3F475D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п/п</w:t>
            </w:r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>- в домах сестринского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gramStart"/>
            <w:r w:rsidRPr="00BB5F27">
              <w:t>мало-этажной</w:t>
            </w:r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3F475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полустационарных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3F475D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 xml:space="preserve">Показатель минимальной обеспеченности населения площадью торговых объектов местного значения 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3280"/>
        <w:gridCol w:w="2552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>Минимальное количество торговых</w:t>
            </w:r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3F475D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>и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 одно-,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3F475D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 xml:space="preserve"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808"/>
        <w:gridCol w:w="3024"/>
        <w:gridCol w:w="3088"/>
      </w:tblGrid>
      <w:tr w:rsidR="007766AF" w:rsidRPr="00BB5F27" w:rsidTr="003F475D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r w:rsidRPr="00BB5F27"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3F475D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3F475D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</w:t>
            </w:r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2" w:name="page21"/>
      <w:bookmarkEnd w:id="2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3F475D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п/п</w:t>
            </w: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3F475D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3F475D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3F475D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3F475D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rPr>
                <w:bCs/>
              </w:rPr>
              <w:t xml:space="preserve">га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3F475D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3F475D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3F475D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 от стволов среднерослых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поселение», </w:t>
      </w:r>
      <w:r w:rsidRPr="002459EF">
        <w:rPr>
          <w:sz w:val="28"/>
          <w:szCs w:val="28"/>
        </w:rPr>
        <w:t xml:space="preserve">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>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1C3DA1">
        <w:rPr>
          <w:sz w:val="28"/>
          <w:szCs w:val="28"/>
        </w:rPr>
        <w:t>и застройки</w:t>
      </w:r>
      <w:r w:rsidRPr="002459EF">
        <w:rPr>
          <w:sz w:val="28"/>
          <w:szCs w:val="28"/>
        </w:rPr>
        <w:t>)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</w:t>
      </w:r>
      <w:r w:rsidR="009F4C7B">
        <w:rPr>
          <w:sz w:val="28"/>
          <w:szCs w:val="28"/>
        </w:rPr>
        <w:t>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</w:t>
      </w:r>
      <w:r w:rsidRPr="002459EF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 xml:space="preserve">муниципального образования </w:t>
      </w:r>
      <w:r w:rsidR="006E0B85">
        <w:rPr>
          <w:sz w:val="28"/>
          <w:szCs w:val="28"/>
        </w:rPr>
        <w:t>«</w:t>
      </w:r>
      <w:proofErr w:type="spellStart"/>
      <w:r w:rsidR="006E0B85">
        <w:rPr>
          <w:sz w:val="28"/>
          <w:szCs w:val="28"/>
        </w:rPr>
        <w:t>Стемасское</w:t>
      </w:r>
      <w:proofErr w:type="spellEnd"/>
      <w:r w:rsidR="006E0B85">
        <w:rPr>
          <w:sz w:val="28"/>
          <w:szCs w:val="28"/>
        </w:rPr>
        <w:t xml:space="preserve"> сельское поселение» </w:t>
      </w:r>
      <w:r w:rsidRPr="002459EF">
        <w:rPr>
          <w:sz w:val="28"/>
          <w:szCs w:val="28"/>
        </w:rPr>
        <w:t>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5290F"/>
    <w:rsid w:val="00193661"/>
    <w:rsid w:val="001B4052"/>
    <w:rsid w:val="001C1F7B"/>
    <w:rsid w:val="001C3DA1"/>
    <w:rsid w:val="00233A5E"/>
    <w:rsid w:val="002459EF"/>
    <w:rsid w:val="00261BC1"/>
    <w:rsid w:val="00263740"/>
    <w:rsid w:val="00280197"/>
    <w:rsid w:val="00314F53"/>
    <w:rsid w:val="00334E45"/>
    <w:rsid w:val="0035709C"/>
    <w:rsid w:val="003730F7"/>
    <w:rsid w:val="003A3C8B"/>
    <w:rsid w:val="003F475D"/>
    <w:rsid w:val="00431D65"/>
    <w:rsid w:val="00437A16"/>
    <w:rsid w:val="0045002E"/>
    <w:rsid w:val="00457EB2"/>
    <w:rsid w:val="00457F01"/>
    <w:rsid w:val="00496867"/>
    <w:rsid w:val="00503091"/>
    <w:rsid w:val="00517F98"/>
    <w:rsid w:val="005348A4"/>
    <w:rsid w:val="0059269E"/>
    <w:rsid w:val="005E23B2"/>
    <w:rsid w:val="005F6CC0"/>
    <w:rsid w:val="0062776B"/>
    <w:rsid w:val="00654DAF"/>
    <w:rsid w:val="006D32B1"/>
    <w:rsid w:val="006E0B85"/>
    <w:rsid w:val="00774696"/>
    <w:rsid w:val="007766AF"/>
    <w:rsid w:val="0079180C"/>
    <w:rsid w:val="0080457D"/>
    <w:rsid w:val="00855261"/>
    <w:rsid w:val="00866E03"/>
    <w:rsid w:val="008A14FA"/>
    <w:rsid w:val="00962F37"/>
    <w:rsid w:val="009B3700"/>
    <w:rsid w:val="009B456B"/>
    <w:rsid w:val="009F4C7B"/>
    <w:rsid w:val="00A104B1"/>
    <w:rsid w:val="00A3489A"/>
    <w:rsid w:val="00A839A1"/>
    <w:rsid w:val="00B367AF"/>
    <w:rsid w:val="00B429C8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D23C62"/>
    <w:rsid w:val="00D72AEC"/>
    <w:rsid w:val="00D9547C"/>
    <w:rsid w:val="00DB6916"/>
    <w:rsid w:val="00DD6575"/>
    <w:rsid w:val="00EE1421"/>
    <w:rsid w:val="00EF20DB"/>
    <w:rsid w:val="00F208CA"/>
    <w:rsid w:val="00F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CC9F88D-F9E1-4AEB-9F1B-588B1042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6902</Words>
  <Characters>39343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46153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Bolgov M V</cp:lastModifiedBy>
  <cp:revision>7</cp:revision>
  <cp:lastPrinted>2018-11-06T09:43:00Z</cp:lastPrinted>
  <dcterms:created xsi:type="dcterms:W3CDTF">2018-10-30T09:49:00Z</dcterms:created>
  <dcterms:modified xsi:type="dcterms:W3CDTF">2018-11-07T12:18:00Z</dcterms:modified>
</cp:coreProperties>
</file>